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39790" cy="840105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сновы теории надежности в электроэнергетических расчетах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</w:rPr>
        <w:lastRenderedPageBreak/>
        <w:drawing>
          <wp:inline distT="0" distB="0" distL="0" distR="0">
            <wp:extent cx="5939790" cy="840105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сновы теории надежности в электроэнергетических расчетах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9542D9" w:rsidRDefault="009542D9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5C336D" w:rsidRDefault="00CF550C" w:rsidP="00954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bookmarkStart w:id="0" w:name="_GoBack"/>
      <w:bookmarkEnd w:id="0"/>
      <w:r>
        <w:rPr>
          <w:b/>
          <w:color w:val="000000"/>
        </w:rPr>
        <w:lastRenderedPageBreak/>
        <w:t>Аннотация рабочей программы по дисциплине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Основы теории надежности в электроэнергетике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Цель преподавания дисциплины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‒   изучение основ и методов расчета надежности систем электроснабжения и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методик выбора оптимальной степени их надежности.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Задачи изучения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0"/>
          <w:id w:val="1552963197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производить определения оптимальной структуры систем электроснабжения на основе анализа и расчета надежности;</w:t>
          </w:r>
        </w:sdtContent>
      </w:sdt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1"/>
          <w:id w:val="1492213109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производить оценку влияния различных факторов на надежную работу 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систем электроснабжения;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2"/>
          <w:id w:val="-1364586171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составление программ испытаний по определению показателей 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надёжности элементов   систем электроснабжения;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3"/>
          <w:id w:val="-498810506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>− изучение требований специализированных нормативных документов в области обеспечения необходимой надёжности элементов и систем электроснабжения.</w:t>
          </w:r>
        </w:sdtContent>
      </w:sdt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В ходе изучения дисциплины у обучающегося формируются следующие компетенции: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ПК-1 - Способность участвовать в проектировании электрического привода, автоматики механизмов и технологических комплексов;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  <w:r>
        <w:rPr>
          <w:color w:val="000000"/>
        </w:rPr>
        <w:t xml:space="preserve">           ПК-2 - 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6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</w:rPr>
        <w:lastRenderedPageBreak/>
        <w:t>1. П</w:t>
      </w:r>
      <w:r>
        <w:rPr>
          <w:color w:val="000000"/>
          <w:highlight w:val="white"/>
        </w:rPr>
        <w:t>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1.1. Цель преподавания дисциплины: изучение основ и методов расчета надежности систем электроснабжения и методик выбора оптимальной степени их надежности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 xml:space="preserve">1.2. Задачи изучения дисциплины: 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4"/>
          <w:id w:val="982127420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 изучение методов, способов    и средств обеспечения заданной надёжности производить определения оптимальной структуры систем электроснабжения на основе анализа и расчета надежности;</w:t>
          </w:r>
        </w:sdtContent>
      </w:sdt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5"/>
          <w:id w:val="1131368581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производить оценку влияния различных факторов на надежную работу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систем электроснабжения;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6"/>
          <w:id w:val="1254930206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 xml:space="preserve"> − составление программ испытаний по определению показателей 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надёжности элементов   систем электроснабжения;</w:t>
      </w:r>
    </w:p>
    <w:p w:rsidR="005C336D" w:rsidRDefault="006C58A5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sdt>
        <w:sdtPr>
          <w:tag w:val="goog_rdk_7"/>
          <w:id w:val="1717708574"/>
        </w:sdtPr>
        <w:sdtEndPr/>
        <w:sdtContent>
          <w:r w:rsidR="00CF550C">
            <w:rPr>
              <w:rFonts w:ascii="Gungsuh" w:eastAsia="Gungsuh" w:hAnsi="Gungsuh" w:cs="Gungsuh"/>
              <w:color w:val="000000"/>
            </w:rPr>
            <w:t>− изучение требований специализированных нормативных документов в области обеспечения необходимой надёжности элементов и систем электроснабжения.</w:t>
          </w:r>
        </w:sdtContent>
      </w:sdt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1.3. Компетенции обучающегося, формируемые в результате освоения дисциплины</w:t>
      </w:r>
    </w:p>
    <w:tbl>
      <w:tblPr>
        <w:tblStyle w:val="affd"/>
        <w:tblW w:w="9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4182"/>
        <w:gridCol w:w="3786"/>
      </w:tblGrid>
      <w:tr w:rsidR="005C336D">
        <w:trPr>
          <w:tblHeader/>
          <w:jc w:val="center"/>
        </w:trPr>
        <w:tc>
          <w:tcPr>
            <w:tcW w:w="160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Категория компетенции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418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и наименование компетенции</w:t>
            </w:r>
          </w:p>
        </w:tc>
        <w:tc>
          <w:tcPr>
            <w:tcW w:w="378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Индикаторы достижения компетенции</w:t>
            </w:r>
          </w:p>
        </w:tc>
      </w:tr>
      <w:tr w:rsidR="005C336D">
        <w:trPr>
          <w:jc w:val="center"/>
        </w:trPr>
        <w:tc>
          <w:tcPr>
            <w:tcW w:w="16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Профессиональные компетенции</w:t>
            </w:r>
          </w:p>
        </w:tc>
        <w:tc>
          <w:tcPr>
            <w:tcW w:w="41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6" w:lineRule="auto"/>
              <w:ind w:left="0" w:hanging="2"/>
              <w:jc w:val="both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основные понятия и определения надежности, причины и характер отказов объектов, их классификация, виды резервирования, показатели надежности, методы определения надежности;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jc w:val="center"/>
        </w:trPr>
        <w:tc>
          <w:tcPr>
            <w:tcW w:w="160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1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ПК-2 - 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3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выбирать метод оценки уровня надежности, определять показатели надежности, рассчитывать надежность систем, прогнозировать надежность с выбором вариантов резервирования;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 xml:space="preserve">: навыками моделирования электроэнергетических систем для расчета надежности и определения показателей надежности. 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ageBreakBefore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2. </w:t>
      </w:r>
      <w:r>
        <w:rPr>
          <w:color w:val="000000"/>
          <w:highlight w:val="white"/>
        </w:rPr>
        <w:t>Место дисциплины в структуре образовательной программы</w:t>
      </w:r>
      <w:r>
        <w:rPr>
          <w:color w:val="000000"/>
        </w:rPr>
        <w:t xml:space="preserve"> «Основы теории надежности в электроэнергетике» является дисциплиной по выбору вариативной части   учебного плана обучающихся по направлению подготовки 13.03.02 Электроэнергетика и электротехника, профиль Электропривод и автоматика.  Она обеспечивает формирование технического мировоззрения будущего бакалавра, а также создает необходимую базу для успешного прохождения государственной итоговой аттестации.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2.1. Перечень дисциплин, освоение которых студентами необходимо для изучения данной дисциплины</w:t>
      </w:r>
    </w:p>
    <w:p w:rsidR="005C336D" w:rsidRDefault="00CF550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Теоретические основы электротехники;</w:t>
      </w:r>
    </w:p>
    <w:p w:rsidR="005C336D" w:rsidRDefault="00CF550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Общая энергетика;</w:t>
      </w:r>
    </w:p>
    <w:p w:rsidR="005C336D" w:rsidRDefault="00CF550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Электроснабжение промышленных предприятий;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2.2. Перечень дисциплин, изучение которых базируется на материале данной дисциплины:</w:t>
      </w:r>
      <w:r>
        <w:rPr>
          <w:color w:val="000000"/>
        </w:rPr>
        <w:tab/>
        <w:t>Государственная итоговая аттестация.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 Структура и содержание дисциплины: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Общая трудоемкость дисциплины:</w:t>
      </w:r>
      <w:r>
        <w:rPr>
          <w:color w:val="000000"/>
        </w:rPr>
        <w:tab/>
        <w:t>зачетные единицы – 3,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ab/>
        <w:t>часы – 108.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3.1. Объем дисциплины и виды учебной работы</w:t>
      </w:r>
    </w:p>
    <w:tbl>
      <w:tblPr>
        <w:tblStyle w:val="affe"/>
        <w:tblW w:w="96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5C336D">
        <w:trPr>
          <w:cantSplit/>
          <w:trHeight w:val="630"/>
          <w:tblHeader/>
          <w:jc w:val="center"/>
        </w:trPr>
        <w:tc>
          <w:tcPr>
            <w:tcW w:w="1019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Зачет</w:t>
            </w:r>
          </w:p>
        </w:tc>
      </w:tr>
      <w:tr w:rsidR="005C336D">
        <w:trPr>
          <w:cantSplit/>
          <w:trHeight w:val="767"/>
          <w:tblHeader/>
          <w:jc w:val="center"/>
        </w:trPr>
        <w:tc>
          <w:tcPr>
            <w:tcW w:w="1019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Лек</w:t>
            </w: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Лаб</w:t>
            </w: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799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12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jc w:val="center"/>
        </w:trPr>
        <w:tc>
          <w:tcPr>
            <w:tcW w:w="9669" w:type="dxa"/>
            <w:gridSpan w:val="13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очное обучение</w:t>
            </w:r>
          </w:p>
        </w:tc>
      </w:tr>
      <w:tr w:rsidR="005C336D">
        <w:trPr>
          <w:jc w:val="center"/>
        </w:trPr>
        <w:tc>
          <w:tcPr>
            <w:tcW w:w="101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75,7</w:t>
            </w:r>
          </w:p>
        </w:tc>
        <w:tc>
          <w:tcPr>
            <w:tcW w:w="799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РГР</w:t>
            </w:r>
          </w:p>
        </w:tc>
        <w:tc>
          <w:tcPr>
            <w:tcW w:w="523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5C336D">
        <w:trPr>
          <w:jc w:val="center"/>
        </w:trPr>
        <w:tc>
          <w:tcPr>
            <w:tcW w:w="101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75,7</w:t>
            </w:r>
          </w:p>
        </w:tc>
        <w:tc>
          <w:tcPr>
            <w:tcW w:w="799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РГР</w:t>
            </w:r>
          </w:p>
        </w:tc>
        <w:tc>
          <w:tcPr>
            <w:tcW w:w="523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5C336D">
        <w:trPr>
          <w:jc w:val="center"/>
        </w:trPr>
        <w:tc>
          <w:tcPr>
            <w:tcW w:w="9669" w:type="dxa"/>
            <w:gridSpan w:val="13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заочное обучение</w:t>
            </w:r>
          </w:p>
        </w:tc>
      </w:tr>
      <w:tr w:rsidR="005C336D">
        <w:trPr>
          <w:jc w:val="center"/>
        </w:trPr>
        <w:tc>
          <w:tcPr>
            <w:tcW w:w="101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93,7</w:t>
            </w:r>
          </w:p>
        </w:tc>
        <w:tc>
          <w:tcPr>
            <w:tcW w:w="799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  <w:tr w:rsidR="005C336D">
        <w:trPr>
          <w:jc w:val="center"/>
        </w:trPr>
        <w:tc>
          <w:tcPr>
            <w:tcW w:w="101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799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  <w:sectPr w:rsidR="005C336D">
          <w:footerReference w:type="even" r:id="rId10"/>
          <w:footerReference w:type="default" r:id="rId11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5C336D" w:rsidRDefault="00CF55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3.1.1</w:t>
      </w:r>
      <w:r>
        <w:rPr>
          <w:i/>
          <w:color w:val="000000"/>
        </w:rPr>
        <w:t>.</w:t>
      </w:r>
      <w:r>
        <w:rPr>
          <w:color w:val="000000"/>
        </w:rPr>
        <w:t xml:space="preserve"> Объем часов и зачетных единиц по дисциплине </w:t>
      </w:r>
    </w:p>
    <w:p w:rsidR="005C336D" w:rsidRDefault="005C33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f"/>
        <w:tblW w:w="153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7"/>
        <w:gridCol w:w="1363"/>
        <w:gridCol w:w="1570"/>
        <w:gridCol w:w="930"/>
        <w:gridCol w:w="930"/>
        <w:gridCol w:w="777"/>
        <w:gridCol w:w="930"/>
        <w:gridCol w:w="927"/>
        <w:gridCol w:w="930"/>
        <w:gridCol w:w="927"/>
        <w:gridCol w:w="780"/>
        <w:gridCol w:w="927"/>
        <w:gridCol w:w="924"/>
      </w:tblGrid>
      <w:tr w:rsidR="005C336D">
        <w:trPr>
          <w:cantSplit/>
        </w:trPr>
        <w:tc>
          <w:tcPr>
            <w:tcW w:w="3437" w:type="dxa"/>
            <w:vMerge w:val="restart"/>
            <w:vAlign w:val="center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раздела (модуля)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363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часов</w:t>
            </w:r>
          </w:p>
        </w:tc>
        <w:tc>
          <w:tcPr>
            <w:tcW w:w="1570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860" w:type="dxa"/>
            <w:gridSpan w:val="2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tcW w:w="5271" w:type="dxa"/>
            <w:gridSpan w:val="6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СРС</w:t>
            </w:r>
          </w:p>
        </w:tc>
      </w:tr>
      <w:tr w:rsidR="005C336D">
        <w:trPr>
          <w:cantSplit/>
        </w:trPr>
        <w:tc>
          <w:tcPr>
            <w:tcW w:w="3437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30" w:type="dxa"/>
            <w:vMerge w:val="restart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1707" w:type="dxa"/>
            <w:gridSpan w:val="2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857" w:type="dxa"/>
            <w:gridSpan w:val="2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</w:t>
            </w:r>
          </w:p>
        </w:tc>
        <w:tc>
          <w:tcPr>
            <w:tcW w:w="1707" w:type="dxa"/>
            <w:gridSpan w:val="2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1851" w:type="dxa"/>
            <w:gridSpan w:val="2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5C336D">
        <w:trPr>
          <w:cantSplit/>
        </w:trPr>
        <w:tc>
          <w:tcPr>
            <w:tcW w:w="3437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/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75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78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заочная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1.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понятия теории надежности.</w:t>
            </w:r>
          </w:p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7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ПК-1,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28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2.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28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Методы расчета показателей надежности объектов электроэнергетики.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57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ПК-1,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3.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и методы повышения надежности объектов электроэнергетики.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33,7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57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ПК-1,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27,7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32,7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Всего часов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105,7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7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93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75,7</w:t>
            </w:r>
          </w:p>
        </w:tc>
        <w:tc>
          <w:tcPr>
            <w:tcW w:w="9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93,7</w:t>
            </w: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АК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0,3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ИЗ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343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Зачетных единиц</w:t>
            </w:r>
          </w:p>
        </w:tc>
        <w:tc>
          <w:tcPr>
            <w:tcW w:w="136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57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7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3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80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2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5C336D">
          <w:pgSz w:w="16838" w:h="11906" w:orient="landscape"/>
          <w:pgMar w:top="1135" w:right="851" w:bottom="851" w:left="851" w:header="567" w:footer="510" w:gutter="0"/>
          <w:cols w:space="720"/>
          <w:titlePg/>
        </w:sect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3.1.2. Наименование тем, их содержание, объем в часах лекционных занятий (по семестрам)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0"/>
        <w:tblW w:w="935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5C336D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5C336D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Заочное </w:t>
            </w:r>
          </w:p>
        </w:tc>
      </w:tr>
      <w:tr w:rsidR="005C336D"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C336D">
        <w:tc>
          <w:tcPr>
            <w:tcW w:w="113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54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 семестр / 9 семестр</w:t>
            </w:r>
          </w:p>
        </w:tc>
        <w:tc>
          <w:tcPr>
            <w:tcW w:w="992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rPr>
          <w:trHeight w:val="459"/>
        </w:trPr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Основные понятия теории надежности.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Понятие надёжности технических систем. Компоненты надёжности. Термины и определения. Система и элементы. Состояния и события. Наработка. Показатели надёжности невосстанавливаемых систем. Функция и плотность распределения наработки. Функция надёжности. Вероятности отказа и безотказной работы. Интенсивность отказов. Средняя наработка. Основные законы распределения случайных величин в задачах электроэнергетики: экспоненциальное, нормальное, Вейбулла. Оценка показателей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надёжности по статистической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информации.</w:t>
            </w: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C336D">
        <w:trPr>
          <w:trHeight w:val="536"/>
        </w:trPr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показателей надежности объектов электроэнергетики.</w:t>
            </w:r>
          </w:p>
        </w:tc>
        <w:tc>
          <w:tcPr>
            <w:tcW w:w="354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этапы и методы расчёта. Логическая схема надёжности. Метод перебора состояний. Метод разложения относительно особого элемента. Метод минимальных путей и сечений. Логико-вероятностные методы. Резервирование и его виды. Методы расчёта надёжности систем с резервированием. Расчет надежности восстанавливаемых систем. Способы восстановления. Использование теории марковских случайных процессов для расчета надежности.</w:t>
            </w: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C336D">
        <w:trPr>
          <w:trHeight w:val="524"/>
        </w:trPr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Средства и методы повышения надежности объектов электроэнергетики.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54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Оптимизация технических решений в электроэнергетике с учетом ущерба. Понятие ущерба от отказа. Виды и составляющие ущербов.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ущербов от перерывов электроснабжения и недоотпуска электроэнергии.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Задачи надежности в условиях эксплуатации субъектов энергетики.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Стендовые испытания, определительные испытания, контрольные испытания и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ускоренные испытания на надёжность. Планы испытаний.</w:t>
            </w:r>
          </w:p>
        </w:tc>
        <w:tc>
          <w:tcPr>
            <w:tcW w:w="99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C336D">
        <w:trPr>
          <w:trHeight w:val="528"/>
        </w:trPr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И </w:t>
            </w:r>
          </w:p>
        </w:tc>
        <w:tc>
          <w:tcPr>
            <w:tcW w:w="2552" w:type="dxa"/>
            <w:vAlign w:val="center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54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 8 семестр/ 9 семестр</w:t>
            </w:r>
          </w:p>
        </w:tc>
        <w:tc>
          <w:tcPr>
            <w:tcW w:w="99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3.1.3. Наименование тем (вопросов), выделенных для самостоятельной работы студентов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1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3402"/>
        <w:gridCol w:w="850"/>
        <w:gridCol w:w="993"/>
        <w:gridCol w:w="992"/>
      </w:tblGrid>
      <w:tr w:rsidR="005C336D">
        <w:trPr>
          <w:trHeight w:val="7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Объём в часах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Литература</w:t>
            </w:r>
          </w:p>
        </w:tc>
      </w:tr>
      <w:tr w:rsidR="005C336D">
        <w:trPr>
          <w:trHeight w:val="185"/>
        </w:trPr>
        <w:tc>
          <w:tcPr>
            <w:tcW w:w="851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40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очн.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заочн.</w:t>
            </w:r>
          </w:p>
        </w:tc>
        <w:tc>
          <w:tcPr>
            <w:tcW w:w="99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Основные понятия теории надежности.</w:t>
            </w:r>
          </w:p>
        </w:tc>
        <w:tc>
          <w:tcPr>
            <w:tcW w:w="34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Понятие надёжности технических систем. Компоненты надёжности. Термины и определения. Система и элементы. Состояния и события. Наработка. Показатели надёжности невосстанавливаемых систем. Функция и плотность распределения наработки. Функция надёжности. Вероятности отказа и безотказной работы. Интенсивность отказов. Средняя наработка. Основные законы распределения случайных величин в задачах электроэнергетики: экспоненциальное, нормальное, Вейбулла. Оценка показателей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надёжности по статистической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информации.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ОЛ-1-2, ДЛ-1</w:t>
            </w:r>
          </w:p>
        </w:tc>
      </w:tr>
      <w:tr w:rsidR="005C336D"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показателей надежности объектов электроэнергетики.</w:t>
            </w:r>
          </w:p>
        </w:tc>
        <w:tc>
          <w:tcPr>
            <w:tcW w:w="34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Основные этапы и методы расчёта. Логическая схема надёжности. Метод перебора состояний. Метод разложения относительно особого элемента. Метод минимальных путей и сечений. Логико-вероятностные методы. Резервирование и его виды. Методы расчёта надёжности систем с резервированием. Расчет надежности восстанавливаемых систем. </w:t>
            </w:r>
            <w:r>
              <w:rPr>
                <w:color w:val="000000"/>
              </w:rPr>
              <w:lastRenderedPageBreak/>
              <w:t>Способы восстановления. Использование теории марковских случайных процессов для расчета надежности.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9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ОЛ-2-4</w:t>
            </w:r>
          </w:p>
        </w:tc>
      </w:tr>
      <w:tr w:rsidR="005C336D"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268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Средства и методы повышения надежности объектов электроэнергетики.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Оптимизация технических решений в электроэнергетике с учетом ущерба. Понятие ущерба от отказа. Виды и составляющие ущербов.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ущербов от перерывов электроснабжения и недоотпуска электроэнергии.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Задачи надежности в условиях эксплуатации субъектов энергетики.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Стендовые испытания, определительные испытания, контрольные испытания и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ускоренные испытания на надёжность. Планы испытаний.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27,7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32,7</w:t>
            </w:r>
          </w:p>
        </w:tc>
        <w:tc>
          <w:tcPr>
            <w:tcW w:w="99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ОЛ-2-4</w:t>
            </w:r>
          </w:p>
        </w:tc>
      </w:tr>
      <w:tr w:rsidR="005C336D">
        <w:tc>
          <w:tcPr>
            <w:tcW w:w="851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68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 8 семестр / 9 семестр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75,7</w:t>
            </w:r>
          </w:p>
        </w:tc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93,7</w:t>
            </w:r>
          </w:p>
        </w:tc>
        <w:tc>
          <w:tcPr>
            <w:tcW w:w="99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3.1.4. Практические занятия, их содержание и объем в часах (по семестрам)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2"/>
        <w:tblW w:w="935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054"/>
        <w:gridCol w:w="851"/>
        <w:gridCol w:w="850"/>
      </w:tblGrid>
      <w:tr w:rsidR="005C336D">
        <w:trPr>
          <w:cantSplit/>
          <w:trHeight w:val="20"/>
        </w:trPr>
        <w:tc>
          <w:tcPr>
            <w:tcW w:w="1080" w:type="dxa"/>
            <w:vMerge w:val="restart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Номер темы </w:t>
            </w:r>
          </w:p>
        </w:tc>
        <w:tc>
          <w:tcPr>
            <w:tcW w:w="2520" w:type="dxa"/>
            <w:vMerge w:val="restart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практических занятий (семинаров)</w:t>
            </w:r>
          </w:p>
        </w:tc>
        <w:tc>
          <w:tcPr>
            <w:tcW w:w="4054" w:type="dxa"/>
            <w:vMerge w:val="restart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содержание практических занятий (семинаров)</w:t>
            </w:r>
          </w:p>
        </w:tc>
        <w:tc>
          <w:tcPr>
            <w:tcW w:w="1701" w:type="dxa"/>
            <w:gridSpan w:val="2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часов</w:t>
            </w:r>
          </w:p>
        </w:tc>
      </w:tr>
      <w:tr w:rsidR="005C336D">
        <w:trPr>
          <w:cantSplit/>
          <w:trHeight w:val="20"/>
        </w:trPr>
        <w:tc>
          <w:tcPr>
            <w:tcW w:w="1080" w:type="dxa"/>
            <w:vMerge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520" w:type="dxa"/>
            <w:vMerge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054" w:type="dxa"/>
            <w:vMerge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Очн.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Заоч.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2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2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 семестр /9 семестр</w:t>
            </w:r>
          </w:p>
        </w:tc>
        <w:tc>
          <w:tcPr>
            <w:tcW w:w="851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2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Основные понятия теории надежности.</w:t>
            </w: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Расчёт показателей надёжности невосстанавливаемых объектов. Аналитическое определение показателей надежности объекта.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2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расчета показателей надежности объектов электроэнергетики.</w:t>
            </w: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Расчёт структурной надёжности невосстанавливаемых объектов. Расчет надежности невосстанавливаемых резервированных систем. Марковские процессы в расчетах надежности восстанавливаемых объектов.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2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Средства и методы повышения надежности объектов электроэнергетики.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Оценка надежности передачи электроэнергии потребителям. Расчеты испытаний надежности.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C336D">
        <w:trPr>
          <w:trHeight w:val="20"/>
        </w:trPr>
        <w:tc>
          <w:tcPr>
            <w:tcW w:w="108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520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405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Итого: 8 семестр / 9 семестр</w:t>
            </w:r>
          </w:p>
        </w:tc>
        <w:tc>
          <w:tcPr>
            <w:tcW w:w="85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</w:tbl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593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ab/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3.1.5. Лабораторные занятия, их наименование и объем в часах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3.2. Перечень тем курсовых проектов (работ)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3.3 Перечень тем РГР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3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7947"/>
      </w:tblGrid>
      <w:tr w:rsidR="005C336D">
        <w:trPr>
          <w:trHeight w:val="70"/>
          <w:tblHeader/>
        </w:trPr>
        <w:tc>
          <w:tcPr>
            <w:tcW w:w="1623" w:type="dxa"/>
            <w:tcBorders>
              <w:lef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794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5C336D">
        <w:trPr>
          <w:trHeight w:val="70"/>
          <w:tblHeader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 показателей надежности систем электроснабжения.</w:t>
            </w:r>
          </w:p>
        </w:tc>
      </w:tr>
    </w:tbl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3.4. Перечень тем рефератов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3.5 Перечень тем контрольных работ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f4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7947"/>
      </w:tblGrid>
      <w:tr w:rsidR="005C336D">
        <w:trPr>
          <w:trHeight w:val="70"/>
          <w:tblHeader/>
        </w:trPr>
        <w:tc>
          <w:tcPr>
            <w:tcW w:w="1623" w:type="dxa"/>
            <w:tcBorders>
              <w:lef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794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5C336D">
        <w:trPr>
          <w:trHeight w:val="70"/>
          <w:tblHeader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 показателей надежности систем электроснабжения.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3.6. Интерактивные образовательные технологии, используемые при проведении учебных занятий</w:t>
      </w:r>
    </w:p>
    <w:tbl>
      <w:tblPr>
        <w:tblStyle w:val="afff5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606"/>
        <w:gridCol w:w="2335"/>
        <w:gridCol w:w="1524"/>
        <w:gridCol w:w="1786"/>
        <w:gridCol w:w="1317"/>
      </w:tblGrid>
      <w:tr w:rsidR="005C336D">
        <w:trPr>
          <w:tblHeader/>
        </w:trPr>
        <w:tc>
          <w:tcPr>
            <w:tcW w:w="100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160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занятий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335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</w:t>
            </w:r>
          </w:p>
        </w:tc>
        <w:tc>
          <w:tcPr>
            <w:tcW w:w="1524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Формируемая компетенция</w:t>
            </w:r>
          </w:p>
        </w:tc>
        <w:tc>
          <w:tcPr>
            <w:tcW w:w="178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Интерактив</w:t>
            </w:r>
          </w:p>
        </w:tc>
        <w:tc>
          <w:tcPr>
            <w:tcW w:w="1317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5C336D">
        <w:trPr>
          <w:tblHeader/>
        </w:trPr>
        <w:tc>
          <w:tcPr>
            <w:tcW w:w="10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8/9</w:t>
            </w:r>
          </w:p>
        </w:tc>
        <w:tc>
          <w:tcPr>
            <w:tcW w:w="1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233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 надежности невосстанавливаемых резервированных систем</w:t>
            </w:r>
          </w:p>
        </w:tc>
        <w:tc>
          <w:tcPr>
            <w:tcW w:w="15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ПК-1,2</w:t>
            </w:r>
          </w:p>
        </w:tc>
        <w:tc>
          <w:tcPr>
            <w:tcW w:w="1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13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2/2</w:t>
            </w:r>
          </w:p>
        </w:tc>
      </w:tr>
      <w:tr w:rsidR="005C336D">
        <w:trPr>
          <w:tblHeader/>
        </w:trPr>
        <w:tc>
          <w:tcPr>
            <w:tcW w:w="10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8/9</w:t>
            </w:r>
          </w:p>
        </w:tc>
        <w:tc>
          <w:tcPr>
            <w:tcW w:w="1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</w:t>
            </w:r>
          </w:p>
        </w:tc>
        <w:tc>
          <w:tcPr>
            <w:tcW w:w="233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Структурная надежность невосстанавливаемых объектов.</w:t>
            </w:r>
          </w:p>
        </w:tc>
        <w:tc>
          <w:tcPr>
            <w:tcW w:w="15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ПК-1,2</w:t>
            </w:r>
          </w:p>
        </w:tc>
        <w:tc>
          <w:tcPr>
            <w:tcW w:w="1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Дисскусия</w:t>
            </w:r>
          </w:p>
        </w:tc>
        <w:tc>
          <w:tcPr>
            <w:tcW w:w="13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2/2</w:t>
            </w:r>
          </w:p>
        </w:tc>
      </w:tr>
      <w:tr w:rsidR="005C336D">
        <w:trPr>
          <w:tblHeader/>
        </w:trPr>
        <w:tc>
          <w:tcPr>
            <w:tcW w:w="100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8/9</w:t>
            </w:r>
          </w:p>
        </w:tc>
        <w:tc>
          <w:tcPr>
            <w:tcW w:w="16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233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Оценка надежности передачи электроэнергии потребителям.</w:t>
            </w:r>
          </w:p>
        </w:tc>
        <w:tc>
          <w:tcPr>
            <w:tcW w:w="15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ПК-1,2</w:t>
            </w:r>
          </w:p>
        </w:tc>
        <w:tc>
          <w:tcPr>
            <w:tcW w:w="178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Обучение на основе опыта</w:t>
            </w:r>
          </w:p>
        </w:tc>
        <w:tc>
          <w:tcPr>
            <w:tcW w:w="13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2/0</w:t>
            </w:r>
          </w:p>
        </w:tc>
      </w:tr>
      <w:tr w:rsidR="005C336D">
        <w:trPr>
          <w:tblHeader/>
        </w:trPr>
        <w:tc>
          <w:tcPr>
            <w:tcW w:w="1002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4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</w:tcPr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6/4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color w:val="000000"/>
          <w:highlight w:val="white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 Основная и дополнительная литература</w:t>
      </w:r>
    </w:p>
    <w:tbl>
      <w:tblPr>
        <w:tblStyle w:val="afff6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п-п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Автор и наименование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пособия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экз. в библиот.</w:t>
            </w:r>
          </w:p>
        </w:tc>
      </w:tr>
      <w:tr w:rsidR="005C336D">
        <w:tc>
          <w:tcPr>
            <w:tcW w:w="9356" w:type="dxa"/>
            <w:gridSpan w:val="5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Основная литература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ОЛ-1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 xml:space="preserve">Смирнов Н. В. Курс теории вероятностей и математической статистики для технических </w:t>
            </w:r>
            <w:r>
              <w:rPr>
                <w:color w:val="000000"/>
              </w:rPr>
              <w:lastRenderedPageBreak/>
              <w:t>приложений: Учебное пособие для высших технических учебных заведений / Николай Васильевич Смирнов, Игорь Валерианович Дунин-Барковский. - 3-е изд., стер. - Москва : Наука, 1969. - 512 с.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</w:rPr>
            </w:pPr>
            <w:r>
              <w:rPr>
                <w:color w:val="000000"/>
              </w:rPr>
              <w:t>1969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</w:rPr>
            </w:pPr>
            <w:r>
              <w:rPr>
                <w:color w:val="000000"/>
              </w:rPr>
              <w:t>34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ОЛ-2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Хорольский, В. Я. Надежность электроснабжения : учебное пособие / В.Я. Хорольский, М.А. Таранов. - Москва : ФОРУМ : ИНФРА-М, 2020. - 127 с. 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134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2">
              <w:r w:rsidR="00CF550C">
                <w:rPr>
                  <w:color w:val="0000FF"/>
                  <w:highlight w:val="white"/>
                  <w:u w:val="single"/>
                </w:rPr>
                <w:t>https://znanium.com/catalog/product/548307</w:t>
              </w:r>
            </w:hyperlink>
            <w:r w:rsidR="00CF550C">
              <w:rPr>
                <w:color w:val="000000"/>
                <w:highlight w:val="white"/>
              </w:rPr>
              <w:t xml:space="preserve"> 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ОЛ-3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Никулин, М. С. Теория надежности. Статистические модели: учеб. пособие / А. В. Антонов, М.С. Никулин, А М. Никулин, В. А. Чепурко. – М. : ИНФРА-М, 2018. – 576 с.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34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3">
              <w:r w:rsidR="00CF550C">
                <w:rPr>
                  <w:color w:val="0000FF"/>
                  <w:highlight w:val="white"/>
                  <w:u w:val="single"/>
                </w:rPr>
                <w:t>https://znanium.com/catalog/product/925809</w:t>
              </w:r>
            </w:hyperlink>
            <w:r w:rsidR="00CF550C">
              <w:rPr>
                <w:color w:val="000000"/>
                <w:highlight w:val="white"/>
              </w:rPr>
              <w:t xml:space="preserve"> 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ОЛ-4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Надежность электроснабжения [Электронный ресурс]: учебное пособие/ И.Н. Воротников [и др.]. - Электрон. текстовые данные. - Ставрополь: АГРУС, 2018. - 64 c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bookmarkStart w:id="1" w:name="_heading=h.30j0zll" w:colFirst="0" w:colLast="0"/>
        <w:bookmarkEnd w:id="1"/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highlight w:val="white"/>
              </w:rPr>
            </w:pPr>
            <w:r>
              <w:fldChar w:fldCharType="begin"/>
            </w:r>
            <w:r>
              <w:instrText xml:space="preserve"> HYPERLINK "http://www.iprbookshop.ru/92990.html" \h </w:instrText>
            </w:r>
            <w:r>
              <w:fldChar w:fldCharType="separate"/>
            </w:r>
            <w:r>
              <w:rPr>
                <w:color w:val="0000FF"/>
                <w:highlight w:val="white"/>
                <w:u w:val="single"/>
              </w:rPr>
              <w:t>http://www.iprbookshop.ru/92990.html</w:t>
            </w:r>
            <w:r>
              <w:rPr>
                <w:color w:val="0000FF"/>
                <w:highlight w:val="white"/>
                <w:u w:val="single"/>
              </w:rPr>
              <w:fldChar w:fldCharType="end"/>
            </w:r>
            <w:r>
              <w:rPr>
                <w:color w:val="000000"/>
                <w:highlight w:val="white"/>
              </w:rPr>
              <w:t>.</w:t>
            </w:r>
          </w:p>
        </w:tc>
      </w:tr>
      <w:tr w:rsidR="005C336D">
        <w:tc>
          <w:tcPr>
            <w:tcW w:w="9356" w:type="dxa"/>
            <w:gridSpan w:val="5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Дополнительная литература</w:t>
            </w:r>
          </w:p>
        </w:tc>
      </w:tr>
      <w:tr w:rsidR="005C336D">
        <w:tc>
          <w:tcPr>
            <w:tcW w:w="99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ДЛ-1</w:t>
            </w:r>
          </w:p>
        </w:tc>
        <w:tc>
          <w:tcPr>
            <w:tcW w:w="4961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Пантелеев В. А. Статистические основы моделирования : Монография / Владимир Алексеевич Пантелеев. - Ухта : Изд-во Ухтинского государственного технического университета, 2008. - 116 с. : ил. - ISBN 978-5-88179-520-7 : б.ц.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13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2008</w:t>
            </w:r>
          </w:p>
        </w:tc>
        <w:tc>
          <w:tcPr>
            <w:tcW w:w="1134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4">
              <w:r w:rsidR="00CF550C">
                <w:rPr>
                  <w:color w:val="0000FF"/>
                </w:rPr>
                <w:t>http://lib.ugtu.net/book/575</w:t>
              </w:r>
            </w:hyperlink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4.2. Методические пособия и указания</w:t>
      </w:r>
    </w:p>
    <w:tbl>
      <w:tblPr>
        <w:tblStyle w:val="afff7"/>
        <w:tblW w:w="935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276"/>
        <w:gridCol w:w="1134"/>
      </w:tblGrid>
      <w:tr w:rsidR="005C336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п-п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 (состава)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экз.</w:t>
            </w:r>
          </w:p>
        </w:tc>
      </w:tr>
      <w:tr w:rsidR="005C336D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М-1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404040"/>
                <w:highlight w:val="white"/>
              </w:rPr>
              <w:t>Пантелеев В. А. Основы теории надежности: Методические указания и задание на выполнение контрольной работы для студентов заочного отделения специальности 140604 - "Электропривод и автоматика промышленных установок и технологических комплексов" : 4 курс, осенний семестр / Владимир Алексеевич Пантелеев. - 3-е изд., дораб. - Ухта : Изд-во Ухтинского государственного технического университета, 2009. - 19 с. : ил. - б.ц.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FF0000"/>
              </w:rPr>
            </w:pPr>
            <w:hyperlink r:id="rId15">
              <w:r w:rsidR="00CF550C">
                <w:rPr>
                  <w:color w:val="0000FF"/>
                </w:rPr>
                <w:t>http://lib.ugtu.net/book/9552/</w:t>
              </w:r>
            </w:hyperlink>
          </w:p>
        </w:tc>
      </w:tr>
    </w:tbl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5. Программное обеспечение и Интернет-ресурсы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5.1. </w:t>
      </w:r>
      <w:r>
        <w:rPr>
          <w:color w:val="000000"/>
          <w:highlight w:val="white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32"/>
          <w:szCs w:val="32"/>
        </w:rPr>
      </w:pPr>
      <w:r>
        <w:rPr>
          <w:color w:val="000000"/>
        </w:rPr>
        <w:t xml:space="preserve"> </w:t>
      </w:r>
      <w:r>
        <w:rPr>
          <w:b/>
          <w:color w:val="000000"/>
          <w:sz w:val="32"/>
          <w:szCs w:val="32"/>
        </w:rPr>
        <w:t xml:space="preserve">Электронные ресурсы БИК УГТУ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tbl>
      <w:tblPr>
        <w:tblStyle w:val="afff8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6077"/>
        <w:gridCol w:w="2917"/>
      </w:tblGrid>
      <w:tr w:rsidR="005C336D">
        <w:tc>
          <w:tcPr>
            <w:tcW w:w="57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электронного ресурса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Адрес сайта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ЭБС Издательство Лань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</w:rPr>
            </w:pPr>
            <w:r>
              <w:rPr>
                <w:color w:val="000000"/>
              </w:rPr>
              <w:t>e.lanbook.com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ЭБС ZNANIUM.COM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www.znanium.com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«ЭБС ЮРАЙT www.biblio-online.ru»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www.biblio-online.ru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Электронная библиотека диссертаций Российской государственной библиотеки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diss.rsl.ru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Ресурсы научной библиотеки (НБ) ТИУ (ТюмГНГУ)</w:t>
            </w:r>
          </w:p>
        </w:tc>
        <w:tc>
          <w:tcPr>
            <w:tcW w:w="2917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6">
              <w:r w:rsidR="00CF550C">
                <w:rPr>
                  <w:color w:val="000000"/>
                </w:rPr>
                <w:t>http://elib.tsogu.ru/</w:t>
              </w:r>
            </w:hyperlink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Ресурсы электронной библиотеки (ЭБ) УГНГУ</w:t>
            </w:r>
          </w:p>
        </w:tc>
        <w:tc>
          <w:tcPr>
            <w:tcW w:w="2917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hyperlink r:id="rId17">
              <w:r w:rsidR="00CF550C">
                <w:rPr>
                  <w:color w:val="000000"/>
                </w:rPr>
                <w:t>http://bibl.rusoil.net</w:t>
              </w:r>
            </w:hyperlink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Ресурсы </w:t>
            </w:r>
            <w:r>
              <w:rPr>
                <w:color w:val="2A2A2A"/>
              </w:rPr>
              <w:t xml:space="preserve">научно-технической библиотеки РГУ нефти и газа </w:t>
            </w:r>
            <w:r>
              <w:rPr>
                <w:color w:val="000000"/>
              </w:rPr>
              <w:t xml:space="preserve">(НИУ) </w:t>
            </w:r>
            <w:r>
              <w:rPr>
                <w:color w:val="2A2A2A"/>
              </w:rPr>
              <w:t>имени И.М. Губкина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http://elib.gubkin.ru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ВЭБС Учебно-методические пособия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lib.ugtu.net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Государственная информационная система «Национальная электронная библиотека»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нэб.рф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Центр электронной доставки документов Российской государственной библиотеки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www.edd.ru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Проект «АРБИКОН» МБА/ЭДД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arbicon.ru/project/EDD/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Научная Электронная Библиотека - eLibrary.ru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www.elibrary.ru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Полнотекстовая база данных СМИ polpred.com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www.polpred.com</w:t>
            </w:r>
          </w:p>
        </w:tc>
      </w:tr>
      <w:tr w:rsidR="005C336D">
        <w:tc>
          <w:tcPr>
            <w:tcW w:w="576" w:type="dxa"/>
          </w:tcPr>
          <w:p w:rsidR="005C336D" w:rsidRDefault="005C336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07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Реферативные журналы ВИНИТИ РАН.</w:t>
            </w:r>
          </w:p>
        </w:tc>
        <w:tc>
          <w:tcPr>
            <w:tcW w:w="2917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http://www2.viniti.ru/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5.2. </w:t>
      </w:r>
      <w:r>
        <w:rPr>
          <w:color w:val="000000"/>
          <w:highlight w:val="white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6. Ф</w:t>
      </w:r>
      <w:r>
        <w:rPr>
          <w:color w:val="000000"/>
          <w:highlight w:val="white"/>
        </w:rPr>
        <w:t xml:space="preserve">онд оценочных средств (ФОС) для проведения текущей и промежуточной аттестации обучающихся по дисциплине </w:t>
      </w:r>
      <w:r>
        <w:rPr>
          <w:b/>
          <w:color w:val="000000"/>
        </w:rPr>
        <w:t xml:space="preserve">Основы теории надежности в электроэнергетике </w:t>
      </w:r>
      <w:r>
        <w:rPr>
          <w:color w:val="000000"/>
          <w:highlight w:val="white"/>
        </w:rPr>
        <w:t>представлен в Приложении 1.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Целью создания фонда оценочных средств является установление соответствия уровня подготовки обучающихся требованиям рабочей программы дисциплины.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Задачи ФОС: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- проверка качества формирования компетенций у обучающихся.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7. Описание материально-технической базы, необходимой для осуществления образовательного процесса по дисциплине: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маркерная доска, проектор, экран, компьютеризированное рабочее место преподавателя,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учебная мебель (303 В  – лекционная аудитория для проведения  занятий лекционного  и семинарского типа (ПЗ). г. Ухта,ул. Первомайская, д. 13, учебный корпус В.);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  <w:r>
        <w:rPr>
          <w:color w:val="000000"/>
        </w:rPr>
        <w:t>8. Методические указания для обучающихся по освоению дисциплины представлены в Приложении 2.</w:t>
      </w:r>
    </w:p>
    <w:p w:rsidR="005C336D" w:rsidRDefault="00CF550C">
      <w:pPr>
        <w:spacing w:before="240" w:after="240" w:line="276" w:lineRule="auto"/>
        <w:ind w:left="1" w:hanging="3"/>
        <w:jc w:val="center"/>
        <w:rPr>
          <w:b/>
        </w:rPr>
      </w:pPr>
      <w:r>
        <w:rPr>
          <w:b/>
          <w:sz w:val="28"/>
          <w:szCs w:val="28"/>
        </w:rPr>
        <w:t>9.</w:t>
      </w:r>
      <w:r>
        <w:rPr>
          <w:sz w:val="14"/>
          <w:szCs w:val="14"/>
        </w:rPr>
        <w:t xml:space="preserve">     </w:t>
      </w:r>
      <w:r>
        <w:rPr>
          <w:b/>
        </w:rPr>
        <w:t>ЛИСТ АКТУАЛИЗАЦИИ</w:t>
      </w:r>
    </w:p>
    <w:p w:rsidR="005C336D" w:rsidRDefault="00CF550C">
      <w:pPr>
        <w:spacing w:before="240" w:after="240" w:line="276" w:lineRule="auto"/>
        <w:ind w:left="0" w:hanging="2"/>
      </w:pPr>
      <w:r>
        <w:t xml:space="preserve"> 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______/______ учебный год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lastRenderedPageBreak/>
        <w:t>В рабочую программу вносятся следующие изменения: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5C336D" w:rsidRDefault="005C336D">
      <w:pPr>
        <w:spacing w:before="240" w:after="240" w:line="276" w:lineRule="auto"/>
        <w:ind w:left="0" w:hanging="2"/>
      </w:pPr>
    </w:p>
    <w:p w:rsidR="005C336D" w:rsidRDefault="005C336D">
      <w:pPr>
        <w:spacing w:before="240" w:after="240" w:line="276" w:lineRule="auto"/>
        <w:ind w:left="0" w:hanging="2"/>
      </w:pPr>
    </w:p>
    <w:p w:rsidR="005C336D" w:rsidRDefault="005C336D">
      <w:pPr>
        <w:spacing w:before="240" w:after="240" w:line="276" w:lineRule="auto"/>
        <w:ind w:left="0" w:hanging="2"/>
      </w:pP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______/______ учебный год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5C336D" w:rsidRDefault="005C336D">
      <w:pPr>
        <w:spacing w:before="240" w:after="240" w:line="276" w:lineRule="auto"/>
        <w:ind w:left="0" w:hanging="2"/>
      </w:pPr>
    </w:p>
    <w:p w:rsidR="005C336D" w:rsidRDefault="005C336D">
      <w:pPr>
        <w:spacing w:before="240" w:after="240" w:line="276" w:lineRule="auto"/>
        <w:ind w:left="0" w:hanging="2"/>
      </w:pPr>
    </w:p>
    <w:p w:rsidR="005C336D" w:rsidRDefault="00CF550C">
      <w:pPr>
        <w:spacing w:before="240" w:after="240" w:line="276" w:lineRule="auto"/>
        <w:ind w:left="0" w:hanging="2"/>
        <w:jc w:val="both"/>
      </w:pPr>
      <w:r>
        <w:lastRenderedPageBreak/>
        <w:t>______/______ учебный год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В рабочую программу вносятся следующие изменения: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ФОС обновлен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Рабочая программа рассмотрена на заседании кафедры________________________________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протокол №___________от 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Заведующий кафедрой ___________________________________________________________</w:t>
      </w:r>
    </w:p>
    <w:p w:rsidR="005C336D" w:rsidRDefault="00CF550C">
      <w:pPr>
        <w:spacing w:before="240" w:after="240" w:line="276" w:lineRule="auto"/>
        <w:ind w:left="0" w:hanging="2"/>
        <w:jc w:val="both"/>
      </w:pPr>
      <w:r>
        <w:t>"_____"______________ 20 ____г.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sectPr w:rsidR="005C336D"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</w:rPr>
      </w:pPr>
      <w:r>
        <w:rPr>
          <w:color w:val="000000"/>
        </w:rPr>
        <w:lastRenderedPageBreak/>
        <w:t>Приложение 1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МИНОБРНАУКИ РОССИИ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Технологический факультет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ЭиМ</w:t>
      </w:r>
    </w:p>
    <w:p w:rsidR="005C336D" w:rsidRDefault="00CF550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1" w:hanging="3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  <w:vertAlign w:val="superscript"/>
        </w:rPr>
        <w:t xml:space="preserve">                      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ФОНД ОЦЕНОЧНЫХ СРЕДСТВ</w:t>
      </w:r>
    </w:p>
    <w:p w:rsidR="005C336D" w:rsidRDefault="00CF550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 ДИСЦИПЛИНЕ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Основы теории надежности в электроэнергетике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>Направление подготовки: 13.03.02 Электроэнергетика и электротехника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подготовки: Электропривод и автоматика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Квалификация: бакалавр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УХТА 2022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0"/>
        </w:rPr>
      </w:pPr>
    </w:p>
    <w:p w:rsidR="005C336D" w:rsidRDefault="00CF55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</w:p>
    <w:tbl>
      <w:tblPr>
        <w:tblStyle w:val="afff9"/>
        <w:tblW w:w="932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5"/>
        <w:gridCol w:w="2930"/>
        <w:gridCol w:w="3605"/>
      </w:tblGrid>
      <w:tr w:rsidR="005C336D">
        <w:tc>
          <w:tcPr>
            <w:tcW w:w="278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Код и наименование компетенции</w:t>
            </w:r>
          </w:p>
        </w:tc>
        <w:tc>
          <w:tcPr>
            <w:tcW w:w="293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Этапы формирования компетенции (тема дисциплины)</w:t>
            </w:r>
          </w:p>
        </w:tc>
        <w:tc>
          <w:tcPr>
            <w:tcW w:w="360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Дескрипторные характеристики компетенции (основные признаки)</w:t>
            </w:r>
          </w:p>
        </w:tc>
      </w:tr>
      <w:tr w:rsidR="005C336D">
        <w:tc>
          <w:tcPr>
            <w:tcW w:w="278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ПК-1.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93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1-3</w:t>
            </w:r>
          </w:p>
        </w:tc>
        <w:tc>
          <w:tcPr>
            <w:tcW w:w="3605" w:type="dxa"/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Знать:</w:t>
            </w:r>
            <w:r>
              <w:rPr>
                <w:color w:val="000000"/>
              </w:rPr>
              <w:t xml:space="preserve"> основные понятия и определения надежности, процессы, происходящие в объекте с позиций надежности, причины и характер отказов объектов, их классификация, виды резервирования, пути повышения надежности, единичные и комплексные показатели надежности, методы определения надежности, этапы в расчетах надежности, ущерб от перерывов 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электроснабжения и его основные составляющие;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Уметь:</w:t>
            </w:r>
            <w:r>
              <w:rPr>
                <w:color w:val="000000"/>
              </w:rPr>
              <w:t xml:space="preserve"> использовать основные законы естественнонаучных дисциплин, методы математического анализа и моделирования, теоретического и экспериментального исследования в области надежности систем электроснабжения;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Владеть:</w:t>
            </w:r>
            <w:r>
              <w:rPr>
                <w:color w:val="000000"/>
              </w:rPr>
              <w:t xml:space="preserve"> навыками практического использования законов естественнонаучных дисциплин, методов математического анализа и моделирования, теоретического и экспериментального исследования надежности систем электроснабжения.</w:t>
            </w:r>
          </w:p>
        </w:tc>
      </w:tr>
      <w:tr w:rsidR="005C336D">
        <w:tc>
          <w:tcPr>
            <w:tcW w:w="278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264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ПК–2. 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93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2-3</w:t>
            </w:r>
          </w:p>
        </w:tc>
        <w:tc>
          <w:tcPr>
            <w:tcW w:w="3605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Знать: </w:t>
            </w:r>
            <w:r>
              <w:rPr>
                <w:color w:val="000000"/>
              </w:rPr>
              <w:t>основные этапы и методы расчета надежности локальных систем;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Уметь: </w:t>
            </w:r>
            <w:r>
              <w:rPr>
                <w:color w:val="000000"/>
              </w:rPr>
              <w:t>определять надежность проектируемых и реальных систем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Владеть:</w:t>
            </w:r>
            <w:r>
              <w:rPr>
                <w:color w:val="000000"/>
              </w:rPr>
              <w:t xml:space="preserve"> навыками повышения надежности систем электроснабжения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  <w:sz w:val="22"/>
          <w:szCs w:val="22"/>
        </w:rPr>
        <w:sectPr w:rsidR="005C336D">
          <w:footerReference w:type="default" r:id="rId18"/>
          <w:pgSz w:w="11906" w:h="16838"/>
          <w:pgMar w:top="851" w:right="851" w:bottom="851" w:left="1701" w:header="567" w:footer="510" w:gutter="0"/>
          <w:cols w:space="720"/>
        </w:sectPr>
      </w:pPr>
    </w:p>
    <w:p w:rsidR="005C336D" w:rsidRDefault="00CF55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Паспорт фонда оценочных средств</w:t>
      </w:r>
    </w:p>
    <w:tbl>
      <w:tblPr>
        <w:tblStyle w:val="afffa"/>
        <w:tblW w:w="9398" w:type="dxa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212"/>
        <w:gridCol w:w="2616"/>
        <w:gridCol w:w="1724"/>
        <w:gridCol w:w="2306"/>
      </w:tblGrid>
      <w:tr w:rsidR="005C336D">
        <w:tc>
          <w:tcPr>
            <w:tcW w:w="540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212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Контролируемые дидактические единицы (разделы,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темы) дисциплины</w:t>
            </w:r>
          </w:p>
        </w:tc>
        <w:tc>
          <w:tcPr>
            <w:tcW w:w="2616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контролируемой компетенции (или ее части)</w:t>
            </w:r>
          </w:p>
        </w:tc>
        <w:tc>
          <w:tcPr>
            <w:tcW w:w="17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Форма контроля</w:t>
            </w:r>
          </w:p>
        </w:tc>
        <w:tc>
          <w:tcPr>
            <w:tcW w:w="23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оценочного средства</w:t>
            </w:r>
          </w:p>
        </w:tc>
      </w:tr>
      <w:tr w:rsidR="005C336D">
        <w:trPr>
          <w:trHeight w:val="860"/>
        </w:trPr>
        <w:tc>
          <w:tcPr>
            <w:tcW w:w="540" w:type="dxa"/>
          </w:tcPr>
          <w:p w:rsidR="005C336D" w:rsidRDefault="005C336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1-3</w:t>
            </w:r>
          </w:p>
        </w:tc>
        <w:tc>
          <w:tcPr>
            <w:tcW w:w="261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ПК-1,2</w:t>
            </w:r>
          </w:p>
        </w:tc>
        <w:tc>
          <w:tcPr>
            <w:tcW w:w="17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РГР (контр. раб.)</w:t>
            </w:r>
          </w:p>
        </w:tc>
        <w:tc>
          <w:tcPr>
            <w:tcW w:w="23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заданий. Методические рекомендации по выполнению</w:t>
            </w:r>
          </w:p>
        </w:tc>
      </w:tr>
      <w:tr w:rsidR="005C336D">
        <w:trPr>
          <w:trHeight w:val="639"/>
        </w:trPr>
        <w:tc>
          <w:tcPr>
            <w:tcW w:w="540" w:type="dxa"/>
          </w:tcPr>
          <w:p w:rsidR="005C336D" w:rsidRDefault="005C336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212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 1-3</w:t>
            </w:r>
          </w:p>
        </w:tc>
        <w:tc>
          <w:tcPr>
            <w:tcW w:w="261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ПК-1,2</w:t>
            </w:r>
          </w:p>
        </w:tc>
        <w:tc>
          <w:tcPr>
            <w:tcW w:w="1724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2306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зачету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  <w:sz w:val="22"/>
          <w:szCs w:val="22"/>
        </w:rPr>
      </w:pPr>
    </w:p>
    <w:p w:rsidR="005C336D" w:rsidRDefault="00CF55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Показатели и критерии оценивания компетенций, описание шкал оценивания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fb"/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1701"/>
        <w:gridCol w:w="2886"/>
        <w:gridCol w:w="3828"/>
      </w:tblGrid>
      <w:tr w:rsidR="005C336D">
        <w:tc>
          <w:tcPr>
            <w:tcW w:w="941" w:type="dxa"/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компетенции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Показатели сформированности</w:t>
            </w:r>
          </w:p>
        </w:tc>
        <w:tc>
          <w:tcPr>
            <w:tcW w:w="2886" w:type="dxa"/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Шкала оценивания</w:t>
            </w:r>
          </w:p>
        </w:tc>
        <w:tc>
          <w:tcPr>
            <w:tcW w:w="3828" w:type="dxa"/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Критерии оценивания</w:t>
            </w:r>
          </w:p>
        </w:tc>
      </w:tr>
      <w:tr w:rsidR="005C336D">
        <w:trPr>
          <w:cantSplit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ПК–1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Знать: </w:t>
            </w:r>
            <w:r>
              <w:rPr>
                <w:color w:val="000000"/>
              </w:rPr>
              <w:t xml:space="preserve">основные понятия и определения надежности, процессы, происходящие в объекте с позиций надежности, причины и характер </w:t>
            </w:r>
            <w:r>
              <w:rPr>
                <w:color w:val="000000"/>
              </w:rPr>
              <w:lastRenderedPageBreak/>
              <w:t xml:space="preserve">отказов объектов, их классификация, виды резервирования, пути повышения надежности, единичные и комплексные показатели надежности, методы определения надежности, этапы в расчетах надежности, ущерб от перерывов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электроснабжения и его основные составляющие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 xml:space="preserve">Пороговый уровень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Знать: </w:t>
            </w:r>
            <w:r>
              <w:rPr>
                <w:color w:val="000000"/>
              </w:rPr>
              <w:t>основные понятия и определения надежности, процессы, происходящие в объекте с позиций надежности, причины и характер отказов объектов, их классификация, виды резервирования, пути повышения надежности, единичные и комплексные показатели надежности, методы определения надежности.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 xml:space="preserve">: 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основные понятия и определения надежности, процессы, происходящие в объекте с позиций надежности, причины и характер отказов объектов, их классификация, виды резервирования, пути повышения надежности, единичные и комплексные показатели надежности, методы определения надежности, этапы в расчетах надежности, ущерб от перерывов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электроснабжения и его основные составляющие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использовать основные законы естественнонаучных дисциплин, методы математического анализа и моделирования, теоретического и экспериментального исследования в области надежности систем электроснабжения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использовать основные законы естественнонаучных дисциплин, методы математического анализа и моделирования, теоретического и экспериментального исследования в области надежности систем</w:t>
            </w:r>
            <w:r>
              <w:rPr>
                <w:i/>
                <w:color w:val="000000"/>
              </w:rPr>
              <w:t xml:space="preserve"> э</w:t>
            </w:r>
            <w:r>
              <w:rPr>
                <w:color w:val="000000"/>
              </w:rPr>
              <w:t>лектроснабжения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применять с большей степенью самостоятельности основные законы естественнонаучных дисциплин, методы математического анализа и моделирования, теоретического и экспериментального исследования в области надежности систем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электроснабжения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Владеть: </w:t>
            </w:r>
            <w:r>
              <w:rPr>
                <w:color w:val="000000"/>
              </w:rPr>
              <w:t>навыками практического использования законов естественнонаучных дисциплин, методов математического анализа и моделирования, теоретического и экспериментального исследования надежности систем электроснабжения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в достаточной мере навыками практического использования законов естественнонаучных дисциплин, методов математического анализа и моделирования, теоретического и экспериментального исследования надежности систем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электроснабжения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Владеть: </w:t>
            </w:r>
            <w:r>
              <w:rPr>
                <w:color w:val="000000"/>
              </w:rPr>
              <w:t>методологией практического использования законов естественнонаучных дисциплин, методов математического анализа и моделирования, теоретического и экспериментального исследования надежности систем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электроснабжения</w:t>
            </w:r>
          </w:p>
        </w:tc>
      </w:tr>
      <w:tr w:rsidR="005C336D">
        <w:trPr>
          <w:cantSplit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ПК–2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основные этапы и методы расчета надежности локальных систем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Пороговый уровень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основную терминологию, применяемую при различных методах расчета надежности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основные этапы и методы расчета надежности локальных систем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Уметь: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определять надежность проектируемых и реальных систем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Уметь:</w:t>
            </w:r>
            <w:r>
              <w:rPr>
                <w:color w:val="000000"/>
              </w:rPr>
              <w:t xml:space="preserve"> определять надежность проектируемых и реальных систем, используя теоретические и экспериментальные методы.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оценивать надежность по </w:t>
            </w:r>
          </w:p>
          <w:p w:rsidR="005C336D" w:rsidRDefault="00CF55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результатам испытаний 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Владеть:</w:t>
            </w:r>
            <w:r>
              <w:rPr>
                <w:color w:val="000000"/>
              </w:rPr>
              <w:t xml:space="preserve"> навыками повышения надежности систем электроснабжения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в достаточной мере навыками решения задач по расчету показателей надежности и оптимальному резервированию</w:t>
            </w:r>
          </w:p>
        </w:tc>
      </w:tr>
      <w:tr w:rsidR="005C336D">
        <w:trPr>
          <w:cantSplit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Владеть: </w:t>
            </w:r>
            <w:r>
              <w:rPr>
                <w:color w:val="000000"/>
              </w:rPr>
              <w:t>методологией выбора проведения решения задач по расчету показателей надежности и оптимальному резервированию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Компетентностно-ориентированные задания (КОЗ)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 средством формирования компетенций</w:t>
      </w:r>
      <w:r>
        <w:rPr>
          <w:color w:val="000000"/>
        </w:rPr>
        <w:t xml:space="preserve"> ПК-1,2 </w:t>
      </w:r>
      <w:r>
        <w:rPr>
          <w:color w:val="000000"/>
          <w:sz w:val="28"/>
          <w:szCs w:val="28"/>
        </w:rPr>
        <w:t xml:space="preserve">выступает компетентностно-ориентированное задание (далее – КОЗ), которое представляет собой комплексное задание, предназначенное для контроля </w:t>
      </w:r>
      <w:r>
        <w:rPr>
          <w:color w:val="000000"/>
          <w:sz w:val="28"/>
          <w:szCs w:val="28"/>
        </w:rPr>
        <w:lastRenderedPageBreak/>
        <w:t>уровня успеваемости студента по дисциплине Основы теории надежности в электроэнергетике и контроля уровня освоения компетенций.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освоения учебной дисциплины осуществляется с использованием следующих форм и методов текущего контроля: РГР, контрольная работа.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Промежуточная аттестация проводится в форме зачета. Зачет проводится в форме письменного ответа на тестовые вопросы. 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МИНОБРНАУКИ РОССИИ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Технологический факультет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ЭиМ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Типовой вариант задания на контрольную работу (РГР)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В процессе выполнения РГР (контрольной работы необходимо) сделать следующее.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1) Рассчитать оценку средней наработки до отказа.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2) Рассчитать величину дисперсии.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3) Рассчитать среднеквадратическое отклонение как квадратный корень из оценки дисперсии.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4) Построить из данных вариационный ряд, т.е. разместить их в порядке возрастания от наименьшего значения к наибольшему (t</w:t>
      </w:r>
      <w:r>
        <w:rPr>
          <w:color w:val="000000"/>
          <w:vertAlign w:val="subscript"/>
        </w:rPr>
        <w:t>1</w:t>
      </w:r>
      <w:r>
        <w:rPr>
          <w:color w:val="000000"/>
        </w:rPr>
        <w:t>&lt; t</w:t>
      </w:r>
      <w:r>
        <w:rPr>
          <w:color w:val="000000"/>
          <w:vertAlign w:val="subscript"/>
        </w:rPr>
        <w:t>2</w:t>
      </w:r>
      <w:r>
        <w:rPr>
          <w:color w:val="000000"/>
        </w:rPr>
        <w:t>&lt;…&lt;t</w:t>
      </w:r>
      <w:r>
        <w:rPr>
          <w:color w:val="000000"/>
          <w:vertAlign w:val="subscript"/>
        </w:rPr>
        <w:t>N</w:t>
      </w:r>
      <w:r>
        <w:rPr>
          <w:color w:val="000000"/>
        </w:rPr>
        <w:t>).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5) Методом Крамера-Мизеса проверить статистическую гипотезу о том, что экспериментальные данные имеют экспоненциальное.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6) Построить график экспериментальной функции распределения. Для этого используются результаты п.4. Ступенчатая экспериментальная линия строится следующим образом: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a) определяется высота ступени h=1/N;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b) проводится горизонтальная линия (совпадающая с осью абсцисс от нуля до наименьшего значения наработки t1);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с) в точке t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рисуется ступенька высотой h, и прямая продолжается горизонтально до значения t</w:t>
      </w:r>
      <w:r>
        <w:rPr>
          <w:color w:val="000000"/>
          <w:vertAlign w:val="subscript"/>
        </w:rPr>
        <w:t>2</w:t>
      </w:r>
      <w:r>
        <w:rPr>
          <w:color w:val="000000"/>
        </w:rPr>
        <w:t>, где рисуется новая ступенька высоты h;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d) процедура продолжается до значения t</w:t>
      </w:r>
      <w:r>
        <w:rPr>
          <w:color w:val="000000"/>
          <w:vertAlign w:val="subscript"/>
        </w:rPr>
        <w:t>N</w:t>
      </w:r>
      <w:r>
        <w:rPr>
          <w:color w:val="000000"/>
        </w:rPr>
        <w:t>, где последняя ступенька должна достигнуть по оси ординат значения 1.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7) Используя результат п.1, записать теоретическое выражение для функции распределения и построить эту зависимость на том же графике.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8) Рассчитать вероятность безотказной работы данного объекта в течение 10 000 часов.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  <w:sectPr w:rsidR="005C336D">
          <w:pgSz w:w="11906" w:h="16838"/>
          <w:pgMar w:top="851" w:right="851" w:bottom="851" w:left="1701" w:header="567" w:footer="510" w:gutter="0"/>
          <w:cols w:space="720"/>
        </w:sectPr>
      </w:pPr>
      <w:r>
        <w:rPr>
          <w:color w:val="000000"/>
        </w:rPr>
        <w:t xml:space="preserve">Выполнение пунктов 1 – 3 осуществляется по обычным формулам, с которыми студенты знакомы по курсам метрологии и математических моделей в расчетах на ЭВМ. Что же касается пункта 4, то представление данных в виде вариационного ряда очень часто используется при проведении статистических исследований, особенно при использовании методов непараметрической статистики. В нашем случае вариационный ряд применяется для двух целей: проверки статистической гипотезы о характере распределения (п.5) и построения экспериментальной оценки функции распределения (п.6).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lastRenderedPageBreak/>
        <w:t>МИНОБРНАУКИ РОССИИ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Технологический факультет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ЭиМ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74" w:after="240" w:line="240" w:lineRule="auto"/>
        <w:ind w:left="1" w:hanging="3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Вопросы к зачету</w:t>
      </w:r>
    </w:p>
    <w:tbl>
      <w:tblPr>
        <w:tblStyle w:val="afffc"/>
        <w:tblW w:w="93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4470"/>
        <w:gridCol w:w="4373"/>
      </w:tblGrid>
      <w:tr w:rsidR="005C336D">
        <w:trPr>
          <w:trHeight w:val="218"/>
        </w:trPr>
        <w:tc>
          <w:tcPr>
            <w:tcW w:w="458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Вопрос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Ответ</w:t>
            </w:r>
          </w:p>
        </w:tc>
      </w:tr>
      <w:tr w:rsidR="005C336D">
        <w:trPr>
          <w:trHeight w:val="1117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Свойство элемента или системы длительно сохранять работоспособность до наступления предельного состояния при определенных условиях эксплуатации – это: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Резервирование          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Безотказность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c. Ремонтопригодность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Сохраняемость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Долговечность</w:t>
            </w:r>
          </w:p>
        </w:tc>
      </w:tr>
      <w:tr w:rsidR="005C336D">
        <w:trPr>
          <w:trHeight w:val="1554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Параметр надежности, характеризующий надежность элемента в каждый данный момент: число отказов в единицу времени, отнесенное к среднему числу элементов, безотказно работающих в данный промежуток времени (при этом отказавшие элементы не заменяются), – это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Частота отказов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Вероятность отказа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Вероятность безотказной работы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Средняя наработка до отказа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e. Интенсивность отказов   </w:t>
            </w:r>
          </w:p>
        </w:tc>
      </w:tr>
      <w:tr w:rsidR="005C336D">
        <w:trPr>
          <w:trHeight w:val="1117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Состояние объекта, при котором он не соответствует хотя бы одному из требований нормативно-технической и (или) конструкторской (проектной) документации – это 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Исправное состояние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Неисправное состояние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Работоспособное состояние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Неработоспособное состояние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Предельное состояние</w:t>
            </w:r>
          </w:p>
        </w:tc>
      </w:tr>
      <w:tr w:rsidR="005C336D">
        <w:trPr>
          <w:trHeight w:val="655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Событие, заключающееся в нарушении работоспособного состояния объекта, – это 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Повреждение    b. Отказ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с. Невозможное    d. Частота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Маловероятное</w:t>
            </w:r>
          </w:p>
        </w:tc>
      </w:tr>
      <w:tr w:rsidR="005C336D">
        <w:trPr>
          <w:trHeight w:val="1117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Параметры надежности невосстанавливаемых объектов: P(t) – вероятность безотказной работы, f(t) – частота отказов, λ(t) – интенсивность отказов – связаны между собой некоторым соотношением:</w:t>
            </w:r>
          </w:p>
        </w:tc>
        <w:tc>
          <w:tcPr>
            <w:tcW w:w="4373" w:type="dxa"/>
          </w:tcPr>
          <w:p w:rsidR="005C336D" w:rsidRDefault="006C58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sdt>
              <w:sdtPr>
                <w:tag w:val="goog_rdk_8"/>
                <w:id w:val="174771825"/>
              </w:sdtPr>
              <w:sdtEndPr/>
              <w:sdtContent>
                <w:r w:rsidR="00CF550C">
                  <w:rPr>
                    <w:rFonts w:ascii="Cardo" w:eastAsia="Cardo" w:hAnsi="Cardo" w:cs="Cardo"/>
                    <w:color w:val="000000"/>
                  </w:rPr>
                  <w:t xml:space="preserve">a. f(t) = λ(t)∙P(t)     </w:t>
                </w:r>
              </w:sdtContent>
            </w:sdt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f(t) = λ(t)/P(t)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f(t) = P(t)/ λ(t)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d. f(t) = λ(t) + P(t)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f(t) = P(t) – λ(t)</w:t>
            </w:r>
          </w:p>
        </w:tc>
      </w:tr>
      <w:tr w:rsidR="005C336D">
        <w:trPr>
          <w:trHeight w:val="1335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Выбрать приемлемые ответы.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 единичным показателям надежности относятся: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Вероятность безотказной работы</w:t>
            </w:r>
            <w:r>
              <w:rPr>
                <w:color w:val="000000"/>
              </w:rPr>
              <w:br/>
              <w:t>b. Коэффициент готовности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Средний ресурс</w:t>
            </w:r>
            <w:r>
              <w:rPr>
                <w:color w:val="000000"/>
              </w:rPr>
              <w:br/>
              <w:t>d. Интенсивность отказов</w:t>
            </w:r>
            <w:r>
              <w:rPr>
                <w:color w:val="000000"/>
              </w:rPr>
              <w:br/>
              <w:t>e. Коэффициент технического использования</w:t>
            </w:r>
          </w:p>
        </w:tc>
      </w:tr>
      <w:tr w:rsidR="005C336D">
        <w:trPr>
          <w:trHeight w:val="88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При </w:t>
            </w:r>
            <w:r>
              <w:rPr>
                <w:i/>
                <w:color w:val="000000"/>
              </w:rPr>
              <w:t xml:space="preserve">t </w:t>
            </w:r>
            <w:r>
              <w:rPr>
                <w:rFonts w:ascii="Symbol" w:eastAsia="Symbol" w:hAnsi="Symbol" w:cs="Symbol"/>
                <w:color w:val="000000"/>
              </w:rPr>
              <w:t>→</w:t>
            </w:r>
            <w:r>
              <w:rPr>
                <w:color w:val="000000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</w:rPr>
              <w:t>∞</w:t>
            </w:r>
            <w:r>
              <w:rPr>
                <w:color w:val="000000"/>
              </w:rPr>
              <w:t xml:space="preserve"> вероятность безотказной работы системы перестаёт зависеть от времени и является оценкой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Коэффициента готовности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Коэффициента оперативной готовности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Коэффициента технического использования</w:t>
            </w:r>
          </w:p>
        </w:tc>
      </w:tr>
      <w:tr w:rsidR="005C336D">
        <w:trPr>
          <w:trHeight w:val="88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Вероятность безотказной работы системы с последовательным соединением элементов (в смысле надежности) и независимыми их отказами определяется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Вероятностью безотказной работы наименее надежного элемента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Суммой вероятностей безотказной работы всех элементов системы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 Произведением вероятностей безотказной работы всех элементов системы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Вероятностью безотказной работы наиболее надежного элемента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Вероятностью отказа наименее надежного элемента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Классическая кривая λ(t) имеет несколько характерных участков. Укажите их число.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2       b. 3      c. 4      d. 5      e. 6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 представленной структурной схеме технической системы определите очерёдность расчёта надёжности данной системы: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6350</wp:posOffset>
                  </wp:positionV>
                  <wp:extent cx="1057910" cy="710565"/>
                  <wp:effectExtent l="0" t="0" r="0" b="0"/>
                  <wp:wrapSquare wrapText="bothSides" distT="0" distB="0" distL="114300" distR="114300"/>
                  <wp:docPr id="1034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910" cy="7105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vertAlign w:val="subscript"/>
              </w:rPr>
            </w:pPr>
            <w:r>
              <w:rPr>
                <w:color w:val="000000"/>
              </w:rPr>
              <w:t>a. Р</w:t>
            </w:r>
            <w:r>
              <w:rPr>
                <w:color w:val="000000"/>
                <w:vertAlign w:val="subscript"/>
              </w:rPr>
              <w:t>34</w:t>
            </w:r>
            <w:sdt>
              <w:sdtPr>
                <w:tag w:val="goog_rdk_9"/>
                <w:id w:val="868726698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345</w:t>
            </w:r>
            <w:sdt>
              <w:sdtPr>
                <w:tag w:val="goog_rdk_10"/>
                <w:id w:val="1289097316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1236</w:t>
            </w:r>
            <w:sdt>
              <w:sdtPr>
                <w:tag w:val="goog_rdk_11"/>
                <w:id w:val="371736469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→Р</w:t>
                </w:r>
              </w:sdtContent>
            </w:sdt>
            <w:r>
              <w:rPr>
                <w:color w:val="000000"/>
                <w:vertAlign w:val="subscript"/>
              </w:rPr>
              <w:t>123456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Р</w:t>
            </w:r>
            <w:r>
              <w:rPr>
                <w:color w:val="000000"/>
                <w:vertAlign w:val="subscript"/>
              </w:rPr>
              <w:t>25</w:t>
            </w:r>
            <w:sdt>
              <w:sdtPr>
                <w:tag w:val="goog_rdk_12"/>
                <w:id w:val="-1904594095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2345</w:t>
            </w:r>
            <w:sdt>
              <w:sdtPr>
                <w:tag w:val="goog_rdk_13"/>
                <w:id w:val="44562543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123456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Р</w:t>
            </w:r>
            <w:r>
              <w:rPr>
                <w:color w:val="000000"/>
                <w:vertAlign w:val="subscript"/>
              </w:rPr>
              <w:t>34</w:t>
            </w:r>
            <w:sdt>
              <w:sdtPr>
                <w:tag w:val="goog_rdk_14"/>
                <w:id w:val="611242994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345</w:t>
            </w:r>
            <w:sdt>
              <w:sdtPr>
                <w:tag w:val="goog_rdk_15"/>
                <w:id w:val="1529610354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2345</w:t>
            </w:r>
            <w:sdt>
              <w:sdtPr>
                <w:tag w:val="goog_rdk_16"/>
                <w:id w:val="1760256830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→Р</w:t>
                </w:r>
              </w:sdtContent>
            </w:sdt>
            <w:r>
              <w:rPr>
                <w:color w:val="000000"/>
                <w:vertAlign w:val="subscript"/>
              </w:rPr>
              <w:t>123456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vertAlign w:val="subscript"/>
              </w:rPr>
            </w:pPr>
            <w:r>
              <w:rPr>
                <w:color w:val="000000"/>
              </w:rPr>
              <w:t>d. Р</w:t>
            </w:r>
            <w:r>
              <w:rPr>
                <w:color w:val="000000"/>
                <w:vertAlign w:val="subscript"/>
              </w:rPr>
              <w:t>34</w:t>
            </w:r>
            <w:sdt>
              <w:sdtPr>
                <w:tag w:val="goog_rdk_17"/>
                <w:id w:val="-1741097889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234</w:t>
            </w:r>
            <w:sdt>
              <w:sdtPr>
                <w:tag w:val="goog_rdk_18"/>
                <w:id w:val="1502004241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 Р</w:t>
                </w:r>
              </w:sdtContent>
            </w:sdt>
            <w:r>
              <w:rPr>
                <w:color w:val="000000"/>
                <w:vertAlign w:val="subscript"/>
              </w:rPr>
              <w:t>2345</w:t>
            </w:r>
            <w:sdt>
              <w:sdtPr>
                <w:tag w:val="goog_rdk_19"/>
                <w:id w:val="654574751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→Р</w:t>
                </w:r>
              </w:sdtContent>
            </w:sdt>
            <w:r>
              <w:rPr>
                <w:color w:val="000000"/>
                <w:vertAlign w:val="subscript"/>
              </w:rPr>
              <w:t>123456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теории надежности переход системы из одного состояния в другое представляется марковским случайным процессом.  Чье имя носит система дифференциальных уравнений для определения вероятностей нахождения системы в том или ином состоянии?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Эйнштейна  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Максвелла        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Ома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d. Колмогорова   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Пуассона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 постоянном резервировании резервные устройства:</w:t>
            </w:r>
          </w:p>
        </w:tc>
        <w:tc>
          <w:tcPr>
            <w:tcW w:w="4373" w:type="dxa"/>
            <w:vAlign w:val="center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Подключены к основному в течение всего времени работы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Вводятся индивидуально для каждой части системы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Подключаются автоматически при отказе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Включаются взамен любого из отказавших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Подключаются в определенные моменты времени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Увеличение числа последовательно соединенных элементов, имеющих одинаковую вероятность безотказной работы </w:t>
            </w:r>
            <w:r>
              <w:rPr>
                <w:i/>
                <w:color w:val="000000"/>
              </w:rPr>
              <w:t>Р</w:t>
            </w:r>
            <w:r>
              <w:rPr>
                <w:i/>
                <w:color w:val="000000"/>
                <w:vertAlign w:val="subscript"/>
              </w:rPr>
              <w:t>ЭЛ</w:t>
            </w:r>
            <w:r>
              <w:rPr>
                <w:i/>
                <w:color w:val="000000"/>
              </w:rPr>
              <w:t>(t)</w:t>
            </w:r>
            <w:r>
              <w:rPr>
                <w:color w:val="000000"/>
              </w:rPr>
              <w:t>=0.9 с двух до четырех приведет: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a. К снижению вероятности безотказной работы изделия на 15%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К снижению вероятности безотказной работы изделия на 19%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c. К увеличению вероятности безотказной работы изделия на 15%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К увеличению вероятности безотказной работы изделия на 19%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К неизменности вероятности безотказной работы изделия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Приемник к началу наблюдения за отказами проработал 100 часов. К концу наблюдения наработка составила 700 часов. Всего зарегистрировано 6 отказов. Среднее время ремонта составило 10 часов. Определить наработку на отказ и коэффициент готовности.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50 часов и 0,25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100 часов и 0,91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100 часов и 1,1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150 часов и 15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4800 часов и 1,5</w:t>
            </w:r>
          </w:p>
        </w:tc>
      </w:tr>
      <w:tr w:rsidR="005C336D">
        <w:trPr>
          <w:trHeight w:val="1894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Проектируется система электроснабжения промышленного района с собственной электростанцией. Предложено три варианта обеспечения электростанции генераторными агрегатами: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 один генератор Р= 300 кВт c λ</w:t>
            </w:r>
            <w:r>
              <w:rPr>
                <w:color w:val="000000"/>
                <w:sz w:val="20"/>
                <w:szCs w:val="20"/>
                <w:vertAlign w:val="subscript"/>
              </w:rPr>
              <w:t xml:space="preserve">a </w:t>
            </w:r>
            <w:r>
              <w:rPr>
                <w:color w:val="000000"/>
                <w:sz w:val="20"/>
                <w:szCs w:val="20"/>
              </w:rPr>
              <w:t>= 3·10</w:t>
            </w:r>
            <w:r>
              <w:rPr>
                <w:color w:val="000000"/>
                <w:sz w:val="20"/>
                <w:szCs w:val="20"/>
                <w:vertAlign w:val="superscript"/>
              </w:rPr>
              <w:t>-5</w:t>
            </w:r>
            <w:r>
              <w:rPr>
                <w:color w:val="000000"/>
                <w:sz w:val="20"/>
                <w:szCs w:val="20"/>
              </w:rPr>
              <w:t xml:space="preserve"> ч</w:t>
            </w:r>
            <w:r>
              <w:rPr>
                <w:color w:val="000000"/>
                <w:sz w:val="20"/>
                <w:szCs w:val="20"/>
                <w:vertAlign w:val="superscript"/>
              </w:rPr>
              <w:t>-1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б) 3 генератора Р= 100 кВт c λ</w:t>
            </w:r>
            <w:r>
              <w:rPr>
                <w:color w:val="000000"/>
                <w:sz w:val="20"/>
                <w:szCs w:val="20"/>
                <w:vertAlign w:val="subscript"/>
              </w:rPr>
              <w:t xml:space="preserve">б </w:t>
            </w:r>
            <w:r>
              <w:rPr>
                <w:color w:val="000000"/>
                <w:sz w:val="20"/>
                <w:szCs w:val="20"/>
              </w:rPr>
              <w:t>= 9·10</w:t>
            </w:r>
            <w:r>
              <w:rPr>
                <w:color w:val="000000"/>
                <w:sz w:val="20"/>
                <w:szCs w:val="20"/>
                <w:vertAlign w:val="superscript"/>
              </w:rPr>
              <w:t>-5</w:t>
            </w:r>
            <w:r>
              <w:rPr>
                <w:color w:val="000000"/>
                <w:sz w:val="20"/>
                <w:szCs w:val="20"/>
              </w:rPr>
              <w:t xml:space="preserve"> ч</w:t>
            </w:r>
            <w:r>
              <w:rPr>
                <w:color w:val="000000"/>
                <w:sz w:val="20"/>
                <w:szCs w:val="20"/>
                <w:vertAlign w:val="superscript"/>
              </w:rPr>
              <w:t>-1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в) 5 генераторов Р= 60 кВт c λ</w:t>
            </w:r>
            <w:r>
              <w:rPr>
                <w:color w:val="000000"/>
                <w:sz w:val="20"/>
                <w:szCs w:val="20"/>
                <w:vertAlign w:val="subscript"/>
              </w:rPr>
              <w:t xml:space="preserve">в </w:t>
            </w:r>
            <w:r>
              <w:rPr>
                <w:color w:val="000000"/>
                <w:sz w:val="20"/>
                <w:szCs w:val="20"/>
              </w:rPr>
              <w:t>= 15·10</w:t>
            </w:r>
            <w:r>
              <w:rPr>
                <w:color w:val="000000"/>
                <w:sz w:val="20"/>
                <w:szCs w:val="20"/>
                <w:vertAlign w:val="superscript"/>
              </w:rPr>
              <w:t>-5</w:t>
            </w:r>
            <w:r>
              <w:rPr>
                <w:color w:val="000000"/>
                <w:sz w:val="20"/>
                <w:szCs w:val="20"/>
              </w:rPr>
              <w:t xml:space="preserve"> ч</w:t>
            </w:r>
            <w:r>
              <w:rPr>
                <w:color w:val="000000"/>
                <w:sz w:val="20"/>
                <w:szCs w:val="20"/>
                <w:vertAlign w:val="superscript"/>
              </w:rPr>
              <w:t>-1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Суммарная мощность потребителей 170 кВт. Определить какая система имеет большую надежность после отработки 1000 часов, если она не допускает восстановления и перерыва в работе.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с одним генератором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с тремя генераторами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с пятью генераторами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все три системы имеют равную надежность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невозможно определить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Приведена структурная схема расчета надежности системы :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1156970</wp:posOffset>
                  </wp:positionH>
                  <wp:positionV relativeFrom="paragraph">
                    <wp:posOffset>21590</wp:posOffset>
                  </wp:positionV>
                  <wp:extent cx="1457325" cy="749300"/>
                  <wp:effectExtent l="0" t="0" r="0" b="0"/>
                  <wp:wrapSquare wrapText="bothSides" distT="0" distB="0" distL="114300" distR="114300"/>
                  <wp:docPr id="1036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74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Найдите вероятность безотказной работы системы, если известны вероятности отказов элементов q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 xml:space="preserve"> = 0,05; q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= 0,1.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0,99595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0,99695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0,99795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0,99895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0,99995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 экспоненциальном законе надежности средняя наработка до отказа невосстанавливаемого объекта равна Т = 1/λ. Во сколько раз уменьшается надежность объекта по истечении средней наработки до отказа (t = Т).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в π раз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в </w:t>
            </w:r>
            <w:r>
              <w:rPr>
                <w:i/>
                <w:color w:val="000000"/>
              </w:rPr>
              <w:t xml:space="preserve">i </w:t>
            </w:r>
            <w:r>
              <w:rPr>
                <w:color w:val="000000"/>
              </w:rPr>
              <w:t>раз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c. в </w:t>
            </w:r>
            <w:r>
              <w:rPr>
                <w:i/>
                <w:color w:val="000000"/>
              </w:rPr>
              <w:t>e</w:t>
            </w:r>
            <w:r>
              <w:rPr>
                <w:color w:val="000000"/>
              </w:rPr>
              <w:t xml:space="preserve"> раз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в λ раз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в 1 раз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Размеченный граф дублированной системы состоит из трех узлов-состояний: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– обе системы работоспособны,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2 – одна система отказала,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 – обе системы отказали.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Верхние стрелки характеризуют деградацию дублированной системы, а нижние – ее восстановление. Интенсивность отказа одной системы – λ. Интенсивность восстановления одной системы одним ремонтником – μ. Какой режим работы и какая стратегия обслуживания реализована в данном графе: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2475865" cy="866775"/>
                  <wp:effectExtent l="0" t="0" r="0" b="0"/>
                  <wp:wrapNone/>
                  <wp:docPr id="103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21"/>
                          <a:srcRect r="584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5865" cy="866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Дублированная система с горячим резервом и одним ремонтником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b. Дублированная система с горячим резервом и двумя ремонтниками, каждый из которых обслуживает свой элемент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Дублированная система с холодным резервом и одним ремонтником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d. Дублированная система с холодным резервом и двумя ремонтниками, каждый из которых обслуживает свой элемент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Дублированная система с холодным резервом и двумя ремонтниками, которые в случае отказа двух элементов восстанавливают каждый свой элемент, а при отказе одного элемента оба восстанавливают отказавший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470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 испытание было поставлено 10 однотипных электрических ламп. За 1000 часов отказало 5 ламп. За следующий интервал времени Δt = 100 часов отказало еще n(Δt) = 3 лампы. Определить статистическую оценку интенсивности отказов ламп λ (1100)</w:t>
            </w:r>
          </w:p>
        </w:tc>
        <w:tc>
          <w:tcPr>
            <w:tcW w:w="4373" w:type="dxa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a. 0,002 ч</w:t>
            </w:r>
            <w:r>
              <w:rPr>
                <w:color w:val="000000"/>
                <w:vertAlign w:val="superscript"/>
              </w:rPr>
              <w:t>-1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b. 0,005 ч</w:t>
            </w:r>
            <w:r>
              <w:rPr>
                <w:color w:val="000000"/>
                <w:vertAlign w:val="superscript"/>
              </w:rPr>
              <w:t>-1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c. 0,010 ч</w:t>
            </w:r>
            <w:r>
              <w:rPr>
                <w:color w:val="000000"/>
                <w:vertAlign w:val="superscript"/>
              </w:rPr>
              <w:t>-1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d. 0,015 ч</w:t>
            </w:r>
            <w:r>
              <w:rPr>
                <w:color w:val="000000"/>
                <w:vertAlign w:val="superscript"/>
              </w:rPr>
              <w:t>-1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e. 0,020 ч</w:t>
            </w:r>
            <w:r>
              <w:rPr>
                <w:color w:val="000000"/>
                <w:vertAlign w:val="superscript"/>
              </w:rPr>
              <w:t>-1</w:t>
            </w:r>
          </w:p>
        </w:tc>
      </w:tr>
      <w:tr w:rsidR="005C336D">
        <w:trPr>
          <w:trHeight w:val="116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843" w:type="dxa"/>
            <w:gridSpan w:val="2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Размеченный граф состояний системы: 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2475865" cy="866775"/>
                  <wp:effectExtent l="0" t="0" r="0" b="0"/>
                  <wp:wrapNone/>
                  <wp:docPr id="10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21"/>
                          <a:srcRect r="584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5865" cy="866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Интенсивности отказов элементов равны λ = 0,02 ч</w:t>
            </w:r>
            <w:r>
              <w:rPr>
                <w:color w:val="000000"/>
                <w:vertAlign w:val="superscript"/>
              </w:rPr>
              <w:t>-1</w:t>
            </w:r>
            <w:r>
              <w:rPr>
                <w:color w:val="000000"/>
              </w:rPr>
              <w:t>, а интенсивности восстановления μ = 0,1 ч</w:t>
            </w:r>
            <w:r>
              <w:rPr>
                <w:color w:val="000000"/>
                <w:vertAlign w:val="superscript"/>
              </w:rPr>
              <w:t>-1</w:t>
            </w:r>
            <w:r>
              <w:rPr>
                <w:color w:val="000000"/>
              </w:rPr>
              <w:t>. Применив топологический метод, определить вероятности состояний системы Р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, Р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, Р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Решение. </w:t>
            </w:r>
          </w:p>
        </w:tc>
      </w:tr>
      <w:tr w:rsidR="005C336D">
        <w:trPr>
          <w:trHeight w:val="667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843" w:type="dxa"/>
            <w:gridSpan w:val="2"/>
          </w:tcPr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Все элементы электронного усилителя работают в нормальный период эксплуатации. Усилитель должен непрерывно работать в течение 10 ч. Из схемы известно, что усилитель состоит из 2 ламп, 8 резисторов и 6 конденсаторов. Интенсивность отказов всех элементов указана в таблице:</w:t>
            </w:r>
          </w:p>
          <w:tbl>
            <w:tblPr>
              <w:tblStyle w:val="afffd"/>
              <w:tblW w:w="861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28"/>
              <w:gridCol w:w="2316"/>
              <w:gridCol w:w="2447"/>
              <w:gridCol w:w="1926"/>
            </w:tblGrid>
            <w:tr w:rsidR="005C336D">
              <w:trPr>
                <w:trHeight w:val="522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и тип элемента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Обозначение по схеме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Количество элементов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Интенсивность отказов </w: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114300" distR="114300">
                        <wp:extent cx="466725" cy="238125"/>
                        <wp:effectExtent l="0" t="0" r="0" b="0"/>
                        <wp:docPr id="1030" name="image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/>
                                <pic:cNvPicPr preferRelativeResize="0"/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725" cy="23812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000000"/>
                    </w:rPr>
                    <w:t>ч</w:t>
                  </w:r>
                  <w:r>
                    <w:rPr>
                      <w:color w:val="000000"/>
                      <w:vertAlign w:val="superscript"/>
                    </w:rPr>
                    <w:t>-1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Резистор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vertAlign w:val="subscript"/>
                    </w:rPr>
                  </w:pPr>
                  <w:r>
                    <w:rPr>
                      <w:color w:val="000000"/>
                    </w:rPr>
                    <w:t>R</w:t>
                  </w:r>
                  <w:r>
                    <w:rPr>
                      <w:color w:val="000000"/>
                      <w:vertAlign w:val="subscript"/>
                    </w:rPr>
                    <w:t>1</w:t>
                  </w:r>
                  <w:r>
                    <w:rPr>
                      <w:color w:val="000000"/>
                    </w:rPr>
                    <w:t>, R</w:t>
                  </w:r>
                  <w:r>
                    <w:rPr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0,09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Резистор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R</w:t>
                  </w:r>
                  <w:r>
                    <w:rPr>
                      <w:color w:val="000000"/>
                      <w:vertAlign w:val="subscript"/>
                    </w:rPr>
                    <w:t>3</w:t>
                  </w:r>
                  <w:r>
                    <w:rPr>
                      <w:color w:val="000000"/>
                    </w:rPr>
                    <w:t>, R</w:t>
                  </w:r>
                  <w:r>
                    <w:rPr>
                      <w:color w:val="000000"/>
                      <w:vertAlign w:val="subscript"/>
                    </w:rPr>
                    <w:t>4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0,12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Резистор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R</w:t>
                  </w:r>
                  <w:r>
                    <w:rPr>
                      <w:color w:val="000000"/>
                      <w:vertAlign w:val="subscript"/>
                    </w:rPr>
                    <w:t>5</w:t>
                  </w:r>
                  <w:r>
                    <w:rPr>
                      <w:color w:val="000000"/>
                    </w:rPr>
                    <w:t>, R</w:t>
                  </w:r>
                  <w:r>
                    <w:rPr>
                      <w:color w:val="000000"/>
                      <w:vertAlign w:val="subscript"/>
                    </w:rPr>
                    <w:t>6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0,10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Резистор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R</w:t>
                  </w:r>
                  <w:r>
                    <w:rPr>
                      <w:color w:val="000000"/>
                      <w:vertAlign w:val="subscript"/>
                    </w:rPr>
                    <w:t>7</w:t>
                  </w:r>
                  <w:r>
                    <w:rPr>
                      <w:color w:val="000000"/>
                    </w:rPr>
                    <w:t>, R</w:t>
                  </w:r>
                  <w:r>
                    <w:rPr>
                      <w:color w:val="000000"/>
                      <w:vertAlign w:val="subscript"/>
                    </w:rPr>
                    <w:t>8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0,10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Конденсатор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</w:t>
                  </w:r>
                  <w:r>
                    <w:rPr>
                      <w:color w:val="000000"/>
                      <w:vertAlign w:val="subscript"/>
                    </w:rPr>
                    <w:t>1</w:t>
                  </w:r>
                  <w:r>
                    <w:rPr>
                      <w:color w:val="000000"/>
                    </w:rPr>
                    <w:t>, C</w:t>
                  </w:r>
                  <w:r>
                    <w:rPr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0,03</w:t>
                  </w:r>
                </w:p>
              </w:tc>
            </w:tr>
            <w:tr w:rsidR="005C336D">
              <w:trPr>
                <w:trHeight w:val="218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Конденсатор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</w:t>
                  </w:r>
                  <w:r>
                    <w:rPr>
                      <w:color w:val="000000"/>
                      <w:vertAlign w:val="subscript"/>
                    </w:rPr>
                    <w:t>3</w:t>
                  </w:r>
                  <w:r>
                    <w:rPr>
                      <w:color w:val="000000"/>
                    </w:rPr>
                    <w:t>, C</w:t>
                  </w:r>
                  <w:r>
                    <w:rPr>
                      <w:color w:val="000000"/>
                      <w:vertAlign w:val="subscript"/>
                    </w:rPr>
                    <w:t>4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0,13</w:t>
                  </w:r>
                </w:p>
              </w:tc>
            </w:tr>
            <w:tr w:rsidR="005C336D">
              <w:trPr>
                <w:trHeight w:val="230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Конденсатор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</w:t>
                  </w:r>
                  <w:r>
                    <w:rPr>
                      <w:color w:val="000000"/>
                      <w:vertAlign w:val="subscript"/>
                    </w:rPr>
                    <w:t>5</w:t>
                  </w:r>
                  <w:r>
                    <w:rPr>
                      <w:color w:val="000000"/>
                    </w:rPr>
                    <w:t>, C</w:t>
                  </w:r>
                  <w:r>
                    <w:rPr>
                      <w:color w:val="000000"/>
                      <w:vertAlign w:val="subscript"/>
                    </w:rPr>
                    <w:t>6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0,09</w:t>
                  </w:r>
                </w:p>
              </w:tc>
            </w:tr>
            <w:tr w:rsidR="005C336D">
              <w:trPr>
                <w:trHeight w:val="206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Лампы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</w:t>
                  </w:r>
                  <w:r>
                    <w:rPr>
                      <w:color w:val="000000"/>
                      <w:vertAlign w:val="subscript"/>
                    </w:rPr>
                    <w:t>1</w:t>
                  </w:r>
                  <w:r>
                    <w:rPr>
                      <w:color w:val="000000"/>
                    </w:rPr>
                    <w:t>, Л</w:t>
                  </w:r>
                  <w:r>
                    <w:rPr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</w:tbl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Требуется рассчитать вероятность безотказной работы системы и среднюю наработку до первого отказа.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Решение. </w:t>
            </w:r>
          </w:p>
        </w:tc>
      </w:tr>
      <w:tr w:rsidR="005C336D">
        <w:trPr>
          <w:trHeight w:val="4213"/>
        </w:trPr>
        <w:tc>
          <w:tcPr>
            <w:tcW w:w="458" w:type="dxa"/>
          </w:tcPr>
          <w:p w:rsidR="005C336D" w:rsidRDefault="005C336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843" w:type="dxa"/>
            <w:gridSpan w:val="2"/>
          </w:tcPr>
          <w:p w:rsidR="005C336D" w:rsidRDefault="005C3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  <w:tbl>
            <w:tblPr>
              <w:tblStyle w:val="afffe"/>
              <w:tblW w:w="7950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502"/>
              <w:gridCol w:w="4448"/>
            </w:tblGrid>
            <w:tr w:rsidR="005C336D">
              <w:trPr>
                <w:trHeight w:val="1974"/>
              </w:trPr>
              <w:tc>
                <w:tcPr>
                  <w:tcW w:w="35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Схема №1</w:t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drawing>
                      <wp:inline distT="0" distB="0" distL="114300" distR="114300">
                        <wp:extent cx="2042160" cy="1094105"/>
                        <wp:effectExtent l="0" t="0" r="0" b="0"/>
                        <wp:docPr id="1032" name="image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6.png"/>
                                <pic:cNvPicPr preferRelativeResize="0"/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42160" cy="109410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Q</w:t>
                  </w:r>
                  <w:r>
                    <w:rPr>
                      <w:color w:val="000000"/>
                      <w:vertAlign w:val="subscript"/>
                    </w:rPr>
                    <w:t>Л1</w:t>
                  </w:r>
                  <w:r>
                    <w:rPr>
                      <w:color w:val="000000"/>
                    </w:rPr>
                    <w:t>=0,1; Q</w:t>
                  </w:r>
                  <w:r>
                    <w:rPr>
                      <w:color w:val="000000"/>
                      <w:vertAlign w:val="subscript"/>
                    </w:rPr>
                    <w:t>Л2</w:t>
                  </w:r>
                  <w:r>
                    <w:rPr>
                      <w:color w:val="000000"/>
                    </w:rPr>
                    <w:t>=0,2</w:t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Схема №2</w:t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drawing>
                      <wp:inline distT="0" distB="0" distL="114300" distR="114300">
                        <wp:extent cx="1969770" cy="1054735"/>
                        <wp:effectExtent l="0" t="0" r="0" b="0"/>
                        <wp:docPr id="1031" name="image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9770" cy="105473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336D" w:rsidRDefault="00CF55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Q</w:t>
                  </w:r>
                  <w:r>
                    <w:rPr>
                      <w:color w:val="000000"/>
                      <w:vertAlign w:val="subscript"/>
                    </w:rPr>
                    <w:t>Л1</w:t>
                  </w:r>
                  <w:r>
                    <w:rPr>
                      <w:color w:val="000000"/>
                    </w:rPr>
                    <w:t>=0,1; Q</w:t>
                  </w:r>
                  <w:r>
                    <w:rPr>
                      <w:color w:val="000000"/>
                      <w:vertAlign w:val="subscript"/>
                    </w:rPr>
                    <w:t>Л2</w:t>
                  </w:r>
                  <w:r>
                    <w:rPr>
                      <w:color w:val="000000"/>
                    </w:rPr>
                    <w:t>=0,2; Q</w:t>
                  </w:r>
                  <w:r>
                    <w:rPr>
                      <w:color w:val="000000"/>
                      <w:vertAlign w:val="subscript"/>
                    </w:rPr>
                    <w:t>Л3</w:t>
                  </w:r>
                  <w:r>
                    <w:rPr>
                      <w:color w:val="000000"/>
                    </w:rPr>
                    <w:t>=0,3</w:t>
                  </w:r>
                </w:p>
              </w:tc>
            </w:tr>
          </w:tbl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Рассматриваются два варианта питания двух районных подстанций одноцепными линиями электропередачи от одного источника питания. Для каждой линии заданы вероятности отказа.</w:t>
            </w: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5C3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Определить, во сколько раз надежность питания ПС2 выше во втором варианте по сравнению с первым.</w:t>
            </w:r>
          </w:p>
          <w:p w:rsidR="005C336D" w:rsidRDefault="00CF5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Решение.</w:t>
            </w:r>
          </w:p>
        </w:tc>
      </w:tr>
    </w:tbl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  <w:sectPr w:rsidR="005C336D">
          <w:pgSz w:w="11906" w:h="16838"/>
          <w:pgMar w:top="851" w:right="851" w:bottom="851" w:left="1701" w:header="567" w:footer="510" w:gutter="0"/>
          <w:cols w:space="720"/>
        </w:sect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rPr>
          <w:color w:val="000000"/>
          <w:sz w:val="28"/>
          <w:szCs w:val="28"/>
        </w:rPr>
      </w:pPr>
      <w:r>
        <w:rPr>
          <w:color w:val="000000"/>
        </w:rPr>
        <w:lastRenderedPageBreak/>
        <w:t>Приложение 2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Методические указания для обучающегося по освоению дисциплины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Основы теории надежности в электроэнергетике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обучающегося путем планомерной, повседневной работы.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Работа с конспектом лекций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Написание РГР (контрольной работы)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 занятии получите у преподавателя методические указания для выполнения реферата (контрольной работы). Начинайте выполнение расчётно-графической (контрольной) работы после соответствующего изучения материала по тематике работы. Расчётно-графическая (контрольная) работа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Зачёт:</w:t>
      </w:r>
    </w:p>
    <w:p w:rsidR="005C336D" w:rsidRDefault="005C33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</w:rPr>
      </w:pPr>
      <w:r>
        <w:rPr>
          <w:color w:val="000000"/>
          <w:u w:val="single"/>
        </w:rPr>
        <w:t>Критерии оценки:</w:t>
      </w:r>
    </w:p>
    <w:p w:rsidR="005C336D" w:rsidRDefault="005C33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Зачёт ставится при правильных ответах на тестовые вопросы не менее 60 %.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Расчётно-графическая работа (контрольная работа):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  <w:r>
        <w:rPr>
          <w:color w:val="000000"/>
          <w:u w:val="single"/>
        </w:rPr>
        <w:t>Критерии оценки: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 xml:space="preserve">Зачтено – </w:t>
      </w:r>
      <w:r>
        <w:rPr>
          <w:color w:val="000000"/>
        </w:rPr>
        <w:t>РГР (КР) достаточно полно раскрывает сущность вопроса, не содержат ошибок принципиального характера и выполнена в соответствии с перечисленными методами, задача решена правильно, но оформлена с ошибками (указаны не все единицы измерения электрических величин, отсутствуют пояснения некоторых пунктов решения задачи, но ход решения в принципе понятен);</w:t>
      </w:r>
    </w:p>
    <w:p w:rsidR="005C336D" w:rsidRDefault="00CF55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Незачет –</w:t>
      </w:r>
      <w:r>
        <w:rPr>
          <w:color w:val="000000"/>
        </w:rPr>
        <w:t xml:space="preserve"> РГР (КР) не раскрывает сущность вопроса, содержит ошибки принципиального характера, является копией разделов книги или интернет – ресурсов, задача решена неверно, либо задача решена верно, но оформлена с ошибками (отсутствуют единицы измерения электрических величин, отсутствуют пояснения хода решения, отсутствуют необходимые для решения формулы). Работа возвращается студенту для устранения указанных замечаний.</w:t>
      </w: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C336D" w:rsidRDefault="005C336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center"/>
        <w:rPr>
          <w:color w:val="000000"/>
          <w:sz w:val="22"/>
          <w:szCs w:val="22"/>
        </w:rPr>
      </w:pPr>
    </w:p>
    <w:sectPr w:rsidR="005C336D">
      <w:pgSz w:w="11906" w:h="16838"/>
      <w:pgMar w:top="851" w:right="851" w:bottom="851" w:left="1701" w:header="567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8A5" w:rsidRDefault="006C58A5">
      <w:pPr>
        <w:spacing w:line="240" w:lineRule="auto"/>
        <w:ind w:left="0" w:hanging="2"/>
      </w:pPr>
      <w:r>
        <w:separator/>
      </w:r>
    </w:p>
  </w:endnote>
  <w:endnote w:type="continuationSeparator" w:id="0">
    <w:p w:rsidR="006C58A5" w:rsidRDefault="006C58A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00"/>
    <w:family w:val="roman"/>
    <w:notTrueType/>
    <w:pitch w:val="default"/>
  </w:font>
  <w:font w:name="Gungsuh">
    <w:altName w:val="Times New Roman"/>
    <w:charset w:val="00"/>
    <w:family w:val="auto"/>
    <w:pitch w:val="default"/>
  </w:font>
  <w:font w:name="Cardo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36D" w:rsidRDefault="00CF55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542D9">
      <w:rPr>
        <w:noProof/>
        <w:color w:val="000000"/>
      </w:rPr>
      <w:t>2</w:t>
    </w:r>
    <w:r>
      <w:rPr>
        <w:color w:val="000000"/>
      </w:rPr>
      <w:fldChar w:fldCharType="end"/>
    </w:r>
  </w:p>
  <w:p w:rsidR="005C336D" w:rsidRDefault="005C33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36D" w:rsidRDefault="00CF55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542D9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36D" w:rsidRDefault="005C33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8A5" w:rsidRDefault="006C58A5">
      <w:pPr>
        <w:spacing w:line="240" w:lineRule="auto"/>
        <w:ind w:left="0" w:hanging="2"/>
      </w:pPr>
      <w:r>
        <w:separator/>
      </w:r>
    </w:p>
  </w:footnote>
  <w:footnote w:type="continuationSeparator" w:id="0">
    <w:p w:rsidR="006C58A5" w:rsidRDefault="006C58A5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057E6"/>
    <w:multiLevelType w:val="multilevel"/>
    <w:tmpl w:val="C2445886"/>
    <w:lvl w:ilvl="0">
      <w:start w:val="1"/>
      <w:numFmt w:val="decimal"/>
      <w:lvlText w:val="%1"/>
      <w:lvlJc w:val="left"/>
      <w:pPr>
        <w:ind w:left="284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2AE07A8"/>
    <w:multiLevelType w:val="multilevel"/>
    <w:tmpl w:val="C8D2B2FC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53C86641"/>
    <w:multiLevelType w:val="multilevel"/>
    <w:tmpl w:val="29EA532E"/>
    <w:lvl w:ilvl="0">
      <w:start w:val="1"/>
      <w:numFmt w:val="decimal"/>
      <w:lvlText w:val="%1."/>
      <w:lvlJc w:val="left"/>
      <w:pPr>
        <w:ind w:left="57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53D96629"/>
    <w:multiLevelType w:val="multilevel"/>
    <w:tmpl w:val="FDA09F1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78BE520F"/>
    <w:multiLevelType w:val="multilevel"/>
    <w:tmpl w:val="C0DC7170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36D"/>
    <w:rsid w:val="005C336D"/>
    <w:rsid w:val="006C58A5"/>
    <w:rsid w:val="009542D9"/>
    <w:rsid w:val="00CF550C"/>
    <w:rsid w:val="00E0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9C569-F53B-4582-B633-45ACA9F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spacing w:before="240" w:after="60" w:line="360" w:lineRule="auto"/>
      <w:ind w:firstLine="851"/>
      <w:jc w:val="both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pPr>
      <w:spacing w:before="240" w:after="60" w:line="360" w:lineRule="auto"/>
      <w:ind w:firstLine="851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pPr>
      <w:spacing w:before="240" w:after="60" w:line="360" w:lineRule="auto"/>
      <w:ind w:firstLine="851"/>
      <w:jc w:val="both"/>
      <w:outlineLvl w:val="6"/>
    </w:pPr>
  </w:style>
  <w:style w:type="paragraph" w:styleId="8">
    <w:name w:val="heading 8"/>
    <w:basedOn w:val="a"/>
    <w:next w:val="a"/>
    <w:pPr>
      <w:spacing w:before="240" w:after="60" w:line="360" w:lineRule="auto"/>
      <w:ind w:firstLine="851"/>
      <w:jc w:val="both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240" w:after="60"/>
      <w:jc w:val="center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paragraph" w:styleId="a9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pPr>
      <w:jc w:val="center"/>
    </w:pPr>
    <w:rPr>
      <w:i/>
      <w:iCs/>
    </w:rPr>
  </w:style>
  <w:style w:type="paragraph" w:customStyle="1" w:styleId="ab">
    <w:name w:val="Знак"/>
    <w:basedOn w:val="a"/>
    <w:pPr>
      <w:spacing w:after="160" w:line="240" w:lineRule="atLeas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ac">
    <w:name w:val="endnote text"/>
    <w:basedOn w:val="a"/>
    <w:rPr>
      <w:sz w:val="20"/>
      <w:szCs w:val="20"/>
    </w:rPr>
  </w:style>
  <w:style w:type="character" w:customStyle="1" w:styleId="ad">
    <w:name w:val="Текст концевой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af">
    <w:name w:val="footnote text"/>
    <w:basedOn w:val="a"/>
    <w:rPr>
      <w:sz w:val="20"/>
      <w:szCs w:val="20"/>
    </w:rPr>
  </w:style>
  <w:style w:type="character" w:customStyle="1" w:styleId="af0">
    <w:name w:val="Текст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11">
    <w:name w:val="Знак1 Знак Знак Знак Знак Знак Знак Знак Знак Знак"/>
    <w:basedOn w:val="a"/>
    <w:pPr>
      <w:tabs>
        <w:tab w:val="num" w:pos="643"/>
      </w:tabs>
      <w:spacing w:after="160" w:line="240" w:lineRule="atLeas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rPr>
      <w:rFonts w:ascii="Calibri" w:hAnsi="Calibri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480" w:lineRule="atLeast"/>
      <w:ind w:firstLine="715"/>
    </w:pPr>
  </w:style>
  <w:style w:type="character" w:customStyle="1" w:styleId="FontStyle69">
    <w:name w:val="Font Style69"/>
    <w:rPr>
      <w:rFonts w:ascii="Times New Roman" w:hAnsi="Times New Roman" w:cs="Times New Roman"/>
      <w:i/>
      <w:i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af2">
    <w:name w:val="Название Знак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f3">
    <w:name w:val="Body Text"/>
    <w:basedOn w:val="a"/>
    <w:rPr>
      <w:sz w:val="16"/>
    </w:rPr>
  </w:style>
  <w:style w:type="character" w:customStyle="1" w:styleId="af4">
    <w:name w:val="Основной текст Знак"/>
    <w:rPr>
      <w:w w:val="100"/>
      <w:position w:val="-1"/>
      <w:sz w:val="16"/>
      <w:szCs w:val="24"/>
      <w:effect w:val="none"/>
      <w:vertAlign w:val="baseline"/>
      <w:cs w:val="0"/>
      <w:em w:val="none"/>
    </w:rPr>
  </w:style>
  <w:style w:type="character" w:styleId="af5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60">
    <w:name w:val="Заголовок 6 Знак"/>
    <w:rPr>
      <w:rFonts w:ascii="Calibri" w:eastAsia="Times New Roman" w:hAnsi="Calibri" w:cs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af6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12">
    <w:name w:val="заголовок 1"/>
    <w:basedOn w:val="a"/>
    <w:next w:val="a"/>
    <w:pPr>
      <w:keepNext/>
      <w:autoSpaceDE w:val="0"/>
      <w:autoSpaceDN w:val="0"/>
      <w:spacing w:line="360" w:lineRule="auto"/>
      <w:jc w:val="center"/>
    </w:pPr>
    <w:rPr>
      <w:b/>
      <w:bCs/>
    </w:rPr>
  </w:style>
  <w:style w:type="paragraph" w:customStyle="1" w:styleId="St">
    <w:name w:val="St"/>
    <w:basedOn w:val="a"/>
    <w:pPr>
      <w:ind w:firstLine="709"/>
      <w:jc w:val="both"/>
    </w:pPr>
  </w:style>
  <w:style w:type="character" w:customStyle="1" w:styleId="St0">
    <w:name w:val="St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30">
    <w:name w:val="Заголовок 3 Знак"/>
    <w:rPr>
      <w:rFonts w:ascii="Arial" w:hAnsi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50">
    <w:name w:val="Заголовок 5 Знак"/>
    <w:rPr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70">
    <w:name w:val="Заголовок 7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80">
    <w:name w:val="Заголовок 8 Знак"/>
    <w:rPr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PlainText1">
    <w:name w:val="Plain Text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Normal1">
    <w:name w:val="Normal1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snapToGrid w:val="0"/>
      <w:position w:val="-1"/>
      <w:sz w:val="24"/>
    </w:rPr>
  </w:style>
  <w:style w:type="paragraph" w:customStyle="1" w:styleId="Normal2">
    <w:name w:val="Normal2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snapToGrid w:val="0"/>
      <w:position w:val="-1"/>
      <w:sz w:val="24"/>
    </w:rPr>
  </w:style>
  <w:style w:type="paragraph" w:styleId="af7">
    <w:name w:val="Normal (Web)"/>
    <w:basedOn w:val="a"/>
    <w:pPr>
      <w:spacing w:before="100" w:beforeAutospacing="1" w:after="100" w:afterAutospacing="1"/>
    </w:pPr>
  </w:style>
  <w:style w:type="character" w:customStyle="1" w:styleId="PlainText10">
    <w:name w:val="Plain Text1 Знак"/>
    <w:rPr>
      <w:rFonts w:ascii="Courier New" w:hAnsi="Courier New"/>
      <w:w w:val="100"/>
      <w:position w:val="-1"/>
      <w:effect w:val="none"/>
      <w:vertAlign w:val="baseline"/>
      <w:cs w:val="0"/>
      <w:em w:val="none"/>
    </w:rPr>
  </w:style>
  <w:style w:type="paragraph" w:styleId="23">
    <w:name w:val="Body Text 2"/>
    <w:basedOn w:val="a"/>
    <w:pPr>
      <w:spacing w:after="120" w:line="48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2 Знак"/>
    <w:rPr>
      <w:w w:val="100"/>
      <w:position w:val="-1"/>
      <w:sz w:val="28"/>
      <w:effect w:val="none"/>
      <w:vertAlign w:val="baseline"/>
      <w:cs w:val="0"/>
      <w:em w:val="none"/>
    </w:rPr>
  </w:style>
  <w:style w:type="paragraph" w:customStyle="1" w:styleId="af8">
    <w:name w:val="После формулы"/>
    <w:basedOn w:val="a"/>
    <w:pPr>
      <w:spacing w:line="360" w:lineRule="auto"/>
      <w:ind w:firstLine="284"/>
      <w:jc w:val="both"/>
    </w:pPr>
    <w:rPr>
      <w:sz w:val="28"/>
      <w:szCs w:val="20"/>
    </w:rPr>
  </w:style>
  <w:style w:type="paragraph" w:customStyle="1" w:styleId="af9">
    <w:name w:val="Формула"/>
    <w:basedOn w:val="a"/>
    <w:pPr>
      <w:spacing w:line="360" w:lineRule="auto"/>
      <w:ind w:firstLine="851"/>
      <w:jc w:val="right"/>
    </w:pPr>
    <w:rPr>
      <w:sz w:val="28"/>
      <w:szCs w:val="20"/>
    </w:rPr>
  </w:style>
  <w:style w:type="paragraph" w:customStyle="1" w:styleId="afa">
    <w:name w:val="Новый"/>
    <w:basedOn w:val="a"/>
    <w:pPr>
      <w:spacing w:line="360" w:lineRule="auto"/>
      <w:ind w:firstLine="851"/>
      <w:jc w:val="center"/>
    </w:pPr>
    <w:rPr>
      <w:b/>
      <w:sz w:val="28"/>
      <w:szCs w:val="20"/>
      <w:u w:val="words"/>
    </w:rPr>
  </w:style>
  <w:style w:type="paragraph" w:customStyle="1" w:styleId="afb">
    <w:name w:val="Название главы"/>
    <w:basedOn w:val="a"/>
    <w:next w:val="a"/>
    <w:pPr>
      <w:keepNext/>
      <w:keepLines/>
      <w:pageBreakBefore/>
      <w:suppressLineNumbers/>
      <w:suppressAutoHyphens w:val="0"/>
      <w:spacing w:line="360" w:lineRule="auto"/>
      <w:jc w:val="center"/>
    </w:pPr>
    <w:rPr>
      <w:b/>
      <w:sz w:val="32"/>
      <w:szCs w:val="20"/>
    </w:rPr>
  </w:style>
  <w:style w:type="paragraph" w:styleId="afc">
    <w:name w:val="Body Text Indent"/>
    <w:basedOn w:val="a"/>
    <w:pPr>
      <w:ind w:firstLine="851"/>
      <w:jc w:val="both"/>
    </w:pPr>
    <w:rPr>
      <w:sz w:val="28"/>
      <w:szCs w:val="20"/>
    </w:rPr>
  </w:style>
  <w:style w:type="character" w:customStyle="1" w:styleId="afd">
    <w:name w:val="Основной текст с отступом Знак"/>
    <w:rPr>
      <w:w w:val="100"/>
      <w:position w:val="-1"/>
      <w:sz w:val="28"/>
      <w:effect w:val="none"/>
      <w:vertAlign w:val="baseline"/>
      <w:cs w:val="0"/>
      <w:em w:val="none"/>
    </w:rPr>
  </w:style>
  <w:style w:type="paragraph" w:styleId="afe">
    <w:name w:val="Block Text"/>
    <w:basedOn w:val="a"/>
    <w:pPr>
      <w:ind w:left="1134" w:right="1133"/>
      <w:jc w:val="both"/>
    </w:pPr>
    <w:rPr>
      <w:sz w:val="20"/>
      <w:szCs w:val="20"/>
    </w:rPr>
  </w:style>
  <w:style w:type="paragraph" w:customStyle="1" w:styleId="13">
    <w:name w:val="Стиль1"/>
    <w:basedOn w:val="a"/>
    <w:pPr>
      <w:widowControl w:val="0"/>
      <w:tabs>
        <w:tab w:val="left" w:pos="1701"/>
      </w:tabs>
      <w:spacing w:line="360" w:lineRule="auto"/>
      <w:ind w:firstLine="737"/>
      <w:jc w:val="center"/>
    </w:pPr>
    <w:rPr>
      <w:b/>
      <w:snapToGrid w:val="0"/>
      <w:szCs w:val="20"/>
    </w:rPr>
  </w:style>
  <w:style w:type="paragraph" w:customStyle="1" w:styleId="H3">
    <w:name w:val="H3"/>
    <w:basedOn w:val="a"/>
    <w:next w:val="a"/>
    <w:pPr>
      <w:keepNext/>
      <w:spacing w:before="100" w:after="100"/>
      <w:outlineLvl w:val="3"/>
    </w:pPr>
    <w:rPr>
      <w:b/>
      <w:snapToGrid w:val="0"/>
      <w:sz w:val="28"/>
      <w:szCs w:val="20"/>
    </w:rPr>
  </w:style>
  <w:style w:type="paragraph" w:customStyle="1" w:styleId="FR1">
    <w:name w:val="FR1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16"/>
      <w:szCs w:val="16"/>
    </w:rPr>
  </w:style>
  <w:style w:type="paragraph" w:customStyle="1" w:styleId="Ie91">
    <w:name w:val="ОбычныIe91"/>
    <w:pPr>
      <w:widowControl w:val="0"/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</w:style>
  <w:style w:type="paragraph" w:customStyle="1" w:styleId="25">
    <w:name w:val="Обычный2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snapToGrid w:val="0"/>
      <w:position w:val="-1"/>
    </w:rPr>
  </w:style>
  <w:style w:type="paragraph" w:customStyle="1" w:styleId="Iauiue">
    <w:name w:val="Iau?iu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aff">
    <w:name w:val="Subtitle"/>
    <w:basedOn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0">
    <w:name w:val="Подзаголовок Знак"/>
    <w:rPr>
      <w:b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aff1">
    <w:name w:val="Îáû÷íûé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</w:rPr>
  </w:style>
  <w:style w:type="paragraph" w:styleId="aff2">
    <w:name w:val="Document Map"/>
    <w:basedOn w:val="a"/>
    <w:pPr>
      <w:shd w:val="clear" w:color="auto" w:fill="000080"/>
      <w:spacing w:line="360" w:lineRule="auto"/>
      <w:ind w:firstLine="851"/>
      <w:jc w:val="both"/>
    </w:pPr>
    <w:rPr>
      <w:rFonts w:ascii="Tahoma" w:hAnsi="Tahoma"/>
      <w:sz w:val="20"/>
      <w:szCs w:val="20"/>
    </w:rPr>
  </w:style>
  <w:style w:type="character" w:customStyle="1" w:styleId="aff3">
    <w:name w:val="Схема документа Знак"/>
    <w:rPr>
      <w:rFonts w:ascii="Tahoma" w:hAnsi="Tahoma"/>
      <w:w w:val="100"/>
      <w:position w:val="-1"/>
      <w:effect w:val="none"/>
      <w:shd w:val="clear" w:color="auto" w:fill="000080"/>
      <w:vertAlign w:val="baseline"/>
      <w:cs w:val="0"/>
      <w:em w:val="none"/>
    </w:rPr>
  </w:style>
  <w:style w:type="character" w:customStyle="1" w:styleId="aff4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12512">
    <w:name w:val="Обычный + Черный;Первая строка:  1;25 см;Междустр.интервал:  множитель 1;2 ..."/>
    <w:basedOn w:val="a"/>
    <w:pPr>
      <w:widowControl w:val="0"/>
      <w:shd w:val="clear" w:color="auto" w:fill="FFFFFF"/>
      <w:spacing w:line="288" w:lineRule="auto"/>
      <w:ind w:firstLine="709"/>
      <w:jc w:val="both"/>
    </w:pPr>
    <w:rPr>
      <w:color w:val="000000"/>
      <w:sz w:val="28"/>
      <w:szCs w:val="20"/>
    </w:r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  <w:spacing w:line="253" w:lineRule="atLeast"/>
      <w:ind w:firstLine="120"/>
    </w:pPr>
  </w:style>
  <w:style w:type="character" w:customStyle="1" w:styleId="aff5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46">
    <w:name w:val="Font Style46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ff6">
    <w:name w:val="РУП"/>
    <w:pPr>
      <w:suppressAutoHyphens/>
      <w:spacing w:after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bCs/>
      <w:kern w:val="32"/>
      <w:position w:val="-1"/>
      <w:sz w:val="24"/>
      <w:szCs w:val="24"/>
    </w:rPr>
  </w:style>
  <w:style w:type="character" w:styleId="aff7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14">
    <w:name w:val="Сетка таблицы1"/>
    <w:basedOn w:val="a1"/>
    <w:next w:val="a7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fontstyle01">
    <w:name w:val="fontstyle01"/>
    <w:rPr>
      <w:rFonts w:ascii="TimesNewRoman" w:hAnsi="TimesNewRoman" w:hint="default"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znanium.com/catalog/product/925809" TargetMode="Externa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548307" TargetMode="External"/><Relationship Id="rId17" Type="http://schemas.openxmlformats.org/officeDocument/2006/relationships/hyperlink" Target="http://bibl.rusoil.net/jirbis2/index.php?option=com_irbis&amp;view=irbis&amp;Itemid=10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.tsogu.ru/" TargetMode="External"/><Relationship Id="rId20" Type="http://schemas.openxmlformats.org/officeDocument/2006/relationships/image" Target="media/image4.png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9552/" TargetMode="External"/><Relationship Id="rId23" Type="http://schemas.openxmlformats.org/officeDocument/2006/relationships/image" Target="media/image7.png"/><Relationship Id="rId28" Type="http://schemas.openxmlformats.org/officeDocument/2006/relationships/customXml" Target="../customXml/item3.xml"/><Relationship Id="rId10" Type="http://schemas.openxmlformats.org/officeDocument/2006/relationships/footer" Target="footer1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lib.ugtu.net/book/575" TargetMode="External"/><Relationship Id="rId22" Type="http://schemas.openxmlformats.org/officeDocument/2006/relationships/image" Target="media/image6.png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vjOMOQnWNMmgLIbI/cZOmMnYFA==">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/>
</file>

<file path=customXml/itemProps2.xml><?xml version="1.0" encoding="utf-8"?>
<ds:datastoreItem xmlns:ds="http://schemas.openxmlformats.org/officeDocument/2006/customXml" ds:itemID="{A40EB485-230A-4588-945C-7F2D30F292DF}"/>
</file>

<file path=customXml/itemProps3.xml><?xml version="1.0" encoding="utf-8"?>
<ds:datastoreItem xmlns:ds="http://schemas.openxmlformats.org/officeDocument/2006/customXml" ds:itemID="{43184639-D1EE-4FB1-AA52-4D73DE7C46AB}"/>
</file>

<file path=customXml/itemProps4.xml><?xml version="1.0" encoding="utf-8"?>
<ds:datastoreItem xmlns:ds="http://schemas.openxmlformats.org/officeDocument/2006/customXml" ds:itemID="{8794CCF9-7916-40A2-A3C3-B0F1981F1D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5563</Words>
  <Characters>31713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37202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оперативной полиграфии</dc:creator>
  <cp:lastModifiedBy>Таширева Светлана Васильевна</cp:lastModifiedBy>
  <cp:revision>2</cp:revision>
  <dcterms:created xsi:type="dcterms:W3CDTF">2022-06-27T12:18:00Z</dcterms:created>
  <dcterms:modified xsi:type="dcterms:W3CDTF">2022-06-27T12:18:00Z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